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8C129" w14:textId="624F4690" w:rsidR="00F51369" w:rsidRDefault="005A2757" w:rsidP="00F51369">
      <w:pPr>
        <w:spacing w:after="0" w:line="240" w:lineRule="auto"/>
        <w:ind w:firstLine="709"/>
        <w:jc w:val="right"/>
        <w:rPr>
          <w:rFonts w:ascii="Times New Roman" w:hAnsi="Times New Roman" w:cs="Times New Roman"/>
          <w:b/>
          <w:sz w:val="28"/>
          <w:szCs w:val="28"/>
        </w:rPr>
      </w:pPr>
      <w:bookmarkStart w:id="0" w:name="_GoBack"/>
      <w:r>
        <w:rPr>
          <w:rFonts w:ascii="Times New Roman" w:hAnsi="Times New Roman" w:cs="Times New Roman"/>
          <w:b/>
          <w:sz w:val="28"/>
          <w:szCs w:val="28"/>
        </w:rPr>
        <w:t>Палаш С.В.</w:t>
      </w:r>
      <w:r w:rsidR="00347B94">
        <w:rPr>
          <w:rFonts w:ascii="Times New Roman" w:hAnsi="Times New Roman" w:cs="Times New Roman"/>
          <w:b/>
          <w:sz w:val="28"/>
          <w:szCs w:val="28"/>
        </w:rPr>
        <w:t xml:space="preserve"> </w:t>
      </w:r>
    </w:p>
    <w:bookmarkEnd w:id="0"/>
    <w:p w14:paraId="01A6E56A" w14:textId="5E58C6E7" w:rsidR="00F51369" w:rsidRDefault="005A2757" w:rsidP="00F51369">
      <w:pPr>
        <w:spacing w:after="0" w:line="240" w:lineRule="auto"/>
        <w:ind w:firstLine="709"/>
        <w:jc w:val="right"/>
        <w:rPr>
          <w:rFonts w:ascii="Times New Roman" w:hAnsi="Times New Roman" w:cs="Times New Roman"/>
          <w:i/>
          <w:sz w:val="28"/>
          <w:szCs w:val="28"/>
        </w:rPr>
      </w:pPr>
      <w:r>
        <w:rPr>
          <w:rFonts w:ascii="Times New Roman" w:hAnsi="Times New Roman" w:cs="Times New Roman"/>
          <w:i/>
          <w:sz w:val="28"/>
          <w:szCs w:val="28"/>
        </w:rPr>
        <w:t>Кострома</w:t>
      </w:r>
      <w:r w:rsidR="00015DCC">
        <w:rPr>
          <w:rFonts w:ascii="Times New Roman" w:hAnsi="Times New Roman" w:cs="Times New Roman"/>
          <w:i/>
          <w:sz w:val="28"/>
          <w:szCs w:val="28"/>
        </w:rPr>
        <w:t xml:space="preserve">, </w:t>
      </w:r>
      <w:r>
        <w:rPr>
          <w:rFonts w:ascii="Times New Roman" w:hAnsi="Times New Roman" w:cs="Times New Roman"/>
          <w:i/>
          <w:sz w:val="28"/>
          <w:szCs w:val="28"/>
        </w:rPr>
        <w:t>К</w:t>
      </w:r>
      <w:r w:rsidR="00015DCC">
        <w:rPr>
          <w:rFonts w:ascii="Times New Roman" w:hAnsi="Times New Roman" w:cs="Times New Roman"/>
          <w:i/>
          <w:sz w:val="28"/>
          <w:szCs w:val="28"/>
        </w:rPr>
        <w:t>ГУ</w:t>
      </w:r>
    </w:p>
    <w:p w14:paraId="7ABBCABA" w14:textId="69D74D89" w:rsidR="00F51369" w:rsidRPr="00015DCC" w:rsidRDefault="005A2757" w:rsidP="00F51369">
      <w:pPr>
        <w:spacing w:after="0" w:line="240" w:lineRule="auto"/>
        <w:ind w:firstLine="709"/>
        <w:jc w:val="right"/>
        <w:rPr>
          <w:rFonts w:ascii="Times New Roman" w:hAnsi="Times New Roman" w:cs="Times New Roman"/>
          <w:sz w:val="28"/>
          <w:szCs w:val="28"/>
        </w:rPr>
      </w:pPr>
      <w:r>
        <w:rPr>
          <w:rStyle w:val="a3"/>
          <w:rFonts w:ascii="Times New Roman" w:hAnsi="Times New Roman" w:cs="Times New Roman"/>
          <w:color w:val="auto"/>
          <w:sz w:val="28"/>
          <w:szCs w:val="28"/>
          <w:u w:val="none"/>
          <w:lang w:val="en-US"/>
        </w:rPr>
        <w:t>svpalash</w:t>
      </w:r>
      <w:r w:rsidRPr="00F1479A">
        <w:rPr>
          <w:rStyle w:val="a3"/>
          <w:rFonts w:ascii="Times New Roman" w:hAnsi="Times New Roman" w:cs="Times New Roman"/>
          <w:color w:val="auto"/>
          <w:sz w:val="28"/>
          <w:szCs w:val="28"/>
          <w:u w:val="none"/>
        </w:rPr>
        <w:t>@</w:t>
      </w:r>
      <w:r>
        <w:rPr>
          <w:rStyle w:val="a3"/>
          <w:rFonts w:ascii="Times New Roman" w:hAnsi="Times New Roman" w:cs="Times New Roman"/>
          <w:color w:val="auto"/>
          <w:sz w:val="28"/>
          <w:szCs w:val="28"/>
          <w:u w:val="none"/>
          <w:lang w:val="en-US"/>
        </w:rPr>
        <w:t>yandex</w:t>
      </w:r>
      <w:r w:rsidRPr="00F1479A">
        <w:rPr>
          <w:rStyle w:val="a3"/>
          <w:rFonts w:ascii="Times New Roman" w:hAnsi="Times New Roman" w:cs="Times New Roman"/>
          <w:color w:val="auto"/>
          <w:sz w:val="28"/>
          <w:szCs w:val="28"/>
          <w:u w:val="none"/>
        </w:rPr>
        <w:t>.</w:t>
      </w:r>
      <w:r>
        <w:rPr>
          <w:rStyle w:val="a3"/>
          <w:rFonts w:ascii="Times New Roman" w:hAnsi="Times New Roman" w:cs="Times New Roman"/>
          <w:color w:val="auto"/>
          <w:sz w:val="28"/>
          <w:szCs w:val="28"/>
          <w:u w:val="none"/>
          <w:lang w:val="en-US"/>
        </w:rPr>
        <w:t>ru</w:t>
      </w:r>
    </w:p>
    <w:p w14:paraId="115D3CC2" w14:textId="3077019D" w:rsidR="001E246E" w:rsidRPr="001E246E" w:rsidRDefault="001E246E" w:rsidP="001E246E">
      <w:pPr>
        <w:spacing w:after="0" w:line="240" w:lineRule="auto"/>
        <w:ind w:firstLine="709"/>
        <w:jc w:val="center"/>
        <w:rPr>
          <w:rFonts w:ascii="Times New Roman" w:hAnsi="Times New Roman" w:cs="Times New Roman"/>
          <w:i/>
          <w:sz w:val="28"/>
          <w:szCs w:val="28"/>
        </w:rPr>
      </w:pPr>
    </w:p>
    <w:p w14:paraId="40F08ECE" w14:textId="42263B36" w:rsidR="00780030" w:rsidRDefault="005A2757" w:rsidP="00015DC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ЭКОНОМИЧЕСКИЕ ЭФФЕКТЫ ГОСУДАРСТВЕННЫХ ПРОГРАММ РЕАЛИЗАЦИИ СТРУКТУРНОЙ ПРОМЫШЛЕННОЙ ПОЛИТИКИ</w:t>
      </w:r>
    </w:p>
    <w:p w14:paraId="67A354BE" w14:textId="1309B623" w:rsidR="003F423D" w:rsidRPr="001E246E" w:rsidRDefault="003F423D" w:rsidP="001E246E">
      <w:pPr>
        <w:spacing w:after="0" w:line="240" w:lineRule="auto"/>
        <w:ind w:firstLine="709"/>
        <w:jc w:val="center"/>
        <w:rPr>
          <w:rFonts w:ascii="Times New Roman" w:hAnsi="Times New Roman" w:cs="Times New Roman"/>
          <w:i/>
          <w:sz w:val="28"/>
          <w:szCs w:val="28"/>
        </w:rPr>
      </w:pPr>
    </w:p>
    <w:p w14:paraId="65F4E22B" w14:textId="23301CB1" w:rsidR="00FA3AF7" w:rsidRPr="00FA3AF7" w:rsidRDefault="00F1479A" w:rsidP="00FA3A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FA3AF7">
        <w:rPr>
          <w:rFonts w:ascii="Times New Roman" w:hAnsi="Times New Roman" w:cs="Times New Roman"/>
          <w:sz w:val="28"/>
          <w:szCs w:val="28"/>
        </w:rPr>
        <w:t>истема стратегического планирования</w:t>
      </w:r>
      <w:r>
        <w:rPr>
          <w:rFonts w:ascii="Times New Roman" w:hAnsi="Times New Roman" w:cs="Times New Roman"/>
          <w:sz w:val="28"/>
          <w:szCs w:val="28"/>
        </w:rPr>
        <w:t>,</w:t>
      </w:r>
      <w:r w:rsidRPr="00FA3AF7">
        <w:rPr>
          <w:rFonts w:ascii="Times New Roman" w:hAnsi="Times New Roman" w:cs="Times New Roman"/>
          <w:sz w:val="28"/>
          <w:szCs w:val="28"/>
        </w:rPr>
        <w:t xml:space="preserve"> </w:t>
      </w:r>
      <w:r>
        <w:rPr>
          <w:rFonts w:ascii="Times New Roman" w:hAnsi="Times New Roman" w:cs="Times New Roman"/>
          <w:sz w:val="28"/>
          <w:szCs w:val="28"/>
        </w:rPr>
        <w:t>ф</w:t>
      </w:r>
      <w:r w:rsidR="00FA3AF7" w:rsidRPr="00FA3AF7">
        <w:rPr>
          <w:rFonts w:ascii="Times New Roman" w:hAnsi="Times New Roman" w:cs="Times New Roman"/>
          <w:sz w:val="28"/>
          <w:szCs w:val="28"/>
        </w:rPr>
        <w:t>ормирующаяся в последние годы в Российской Федерации</w:t>
      </w:r>
      <w:r>
        <w:rPr>
          <w:rFonts w:ascii="Times New Roman" w:hAnsi="Times New Roman" w:cs="Times New Roman"/>
          <w:sz w:val="28"/>
          <w:szCs w:val="28"/>
        </w:rPr>
        <w:t>,</w:t>
      </w:r>
      <w:r w:rsidR="00FA3AF7" w:rsidRPr="00FA3AF7">
        <w:rPr>
          <w:rFonts w:ascii="Times New Roman" w:hAnsi="Times New Roman" w:cs="Times New Roman"/>
          <w:sz w:val="28"/>
          <w:szCs w:val="28"/>
        </w:rPr>
        <w:t xml:space="preserve"> содержит элементы политики структурных изменений в экономике и промышленности: государственная поддержка обрабатывающих и экспортоориентированных производств, малых и средних промышленных предприятий, планы по импортозамещению, поддержка создания высокотехнологичных рабочих мест и т.д. В рамках системы стратегического планирования реализуется несколько государственных программ развития промышленности. На уровне регионов также реализуются государственные программы развития, содержащие подпрограммы развития региональной промышленности. Промышленные предприятия регионов в процессе реализации промышленной политики получают финансирование из бюджетов разных уровней через механизмы федеральных и региональных государственных программ. Так как промышленная политика в Российской Федерации формируется и реализуется в рамках программно-целевого подхода, повышается актуальность научных исследований, имеющих своей целью совершенствование методик оценки экономических эффектов и эффективности государственных программ, использования бюджетных средств, реализации политики структурных изменений.</w:t>
      </w:r>
    </w:p>
    <w:p w14:paraId="0EF19E18" w14:textId="6FFF9AD0" w:rsidR="00FA3AF7" w:rsidRPr="00FA3AF7" w:rsidRDefault="00FA3AF7" w:rsidP="00FA3AF7">
      <w:pPr>
        <w:spacing w:after="0" w:line="240" w:lineRule="auto"/>
        <w:ind w:firstLine="851"/>
        <w:jc w:val="both"/>
        <w:rPr>
          <w:rFonts w:ascii="Times New Roman" w:hAnsi="Times New Roman" w:cs="Times New Roman"/>
          <w:sz w:val="28"/>
          <w:szCs w:val="28"/>
        </w:rPr>
      </w:pPr>
      <w:r w:rsidRPr="00FA3AF7">
        <w:rPr>
          <w:rFonts w:ascii="Times New Roman" w:hAnsi="Times New Roman" w:cs="Times New Roman"/>
          <w:sz w:val="28"/>
          <w:szCs w:val="28"/>
        </w:rPr>
        <w:t xml:space="preserve">Проблемам формирования и реализации промышленной политики, </w:t>
      </w:r>
      <w:r w:rsidR="001526A6">
        <w:rPr>
          <w:rFonts w:ascii="Times New Roman" w:hAnsi="Times New Roman" w:cs="Times New Roman"/>
          <w:sz w:val="28"/>
          <w:szCs w:val="28"/>
        </w:rPr>
        <w:t xml:space="preserve">в том числе в рамках программно-целевого подхода, </w:t>
      </w:r>
      <w:r w:rsidRPr="00FA3AF7">
        <w:rPr>
          <w:rFonts w:ascii="Times New Roman" w:hAnsi="Times New Roman" w:cs="Times New Roman"/>
          <w:sz w:val="28"/>
          <w:szCs w:val="28"/>
        </w:rPr>
        <w:t xml:space="preserve">реиндустриализации, </w:t>
      </w:r>
      <w:r w:rsidR="001526A6">
        <w:rPr>
          <w:rFonts w:ascii="Times New Roman" w:hAnsi="Times New Roman" w:cs="Times New Roman"/>
          <w:sz w:val="28"/>
          <w:szCs w:val="28"/>
        </w:rPr>
        <w:t xml:space="preserve">импортозамещению, индустриальному развитию </w:t>
      </w:r>
      <w:r w:rsidRPr="00FA3AF7">
        <w:rPr>
          <w:rFonts w:ascii="Times New Roman" w:hAnsi="Times New Roman" w:cs="Times New Roman"/>
          <w:sz w:val="28"/>
          <w:szCs w:val="28"/>
        </w:rPr>
        <w:t xml:space="preserve">посвящены труды А.В. Бабкина </w:t>
      </w:r>
      <w:r w:rsidRPr="00FA3AF7">
        <w:rPr>
          <w:rFonts w:ascii="Times New Roman" w:hAnsi="Times New Roman"/>
          <w:sz w:val="28"/>
          <w:szCs w:val="28"/>
        </w:rPr>
        <w:t>[1]</w:t>
      </w:r>
      <w:r w:rsidRPr="00FA3AF7">
        <w:rPr>
          <w:rFonts w:ascii="Times New Roman" w:hAnsi="Times New Roman" w:cs="Times New Roman"/>
          <w:sz w:val="28"/>
          <w:szCs w:val="28"/>
        </w:rPr>
        <w:t xml:space="preserve">, Е.М. Бухвальда, М.А. Бендикова </w:t>
      </w:r>
      <w:r w:rsidRPr="00FA3AF7">
        <w:rPr>
          <w:rFonts w:ascii="Times New Roman" w:hAnsi="Times New Roman"/>
          <w:sz w:val="28"/>
          <w:szCs w:val="28"/>
        </w:rPr>
        <w:t>[</w:t>
      </w:r>
      <w:r w:rsidR="002B2EBB">
        <w:rPr>
          <w:rFonts w:ascii="Times New Roman" w:hAnsi="Times New Roman"/>
          <w:sz w:val="28"/>
          <w:szCs w:val="28"/>
        </w:rPr>
        <w:t>3</w:t>
      </w:r>
      <w:r w:rsidRPr="00FA3AF7">
        <w:rPr>
          <w:rFonts w:ascii="Times New Roman" w:hAnsi="Times New Roman"/>
          <w:sz w:val="28"/>
          <w:szCs w:val="28"/>
        </w:rPr>
        <w:t>]</w:t>
      </w:r>
      <w:r w:rsidRPr="00FA3AF7">
        <w:rPr>
          <w:rFonts w:ascii="Times New Roman" w:hAnsi="Times New Roman" w:cs="Times New Roman"/>
          <w:sz w:val="28"/>
          <w:szCs w:val="28"/>
        </w:rPr>
        <w:t>,</w:t>
      </w:r>
      <w:r w:rsidRPr="00FA3AF7">
        <w:rPr>
          <w:rFonts w:ascii="Times New Roman" w:hAnsi="Times New Roman" w:cs="Times New Roman"/>
          <w:i/>
          <w:sz w:val="28"/>
          <w:szCs w:val="28"/>
        </w:rPr>
        <w:t xml:space="preserve"> </w:t>
      </w:r>
      <w:r w:rsidRPr="00FA3AF7">
        <w:rPr>
          <w:rFonts w:ascii="Times New Roman" w:hAnsi="Times New Roman"/>
          <w:sz w:val="28"/>
          <w:szCs w:val="28"/>
        </w:rPr>
        <w:t xml:space="preserve">Н.А. Ганичева, </w:t>
      </w:r>
      <w:r w:rsidRPr="00FA3AF7">
        <w:rPr>
          <w:rFonts w:ascii="Times New Roman" w:hAnsi="Times New Roman" w:cs="Times New Roman"/>
          <w:sz w:val="28"/>
          <w:szCs w:val="28"/>
        </w:rPr>
        <w:t>В.Е. Дементьева</w:t>
      </w:r>
      <w:r w:rsidR="002B2EBB">
        <w:rPr>
          <w:rFonts w:ascii="Times New Roman" w:hAnsi="Times New Roman" w:cs="Times New Roman"/>
          <w:sz w:val="28"/>
          <w:szCs w:val="28"/>
        </w:rPr>
        <w:t xml:space="preserve"> </w:t>
      </w:r>
      <w:r w:rsidR="002B2EBB" w:rsidRPr="00FA3AF7">
        <w:rPr>
          <w:rFonts w:ascii="Times New Roman" w:hAnsi="Times New Roman"/>
          <w:sz w:val="28"/>
          <w:szCs w:val="28"/>
        </w:rPr>
        <w:t>[</w:t>
      </w:r>
      <w:r w:rsidR="002B2EBB">
        <w:rPr>
          <w:rFonts w:ascii="Times New Roman" w:hAnsi="Times New Roman"/>
          <w:sz w:val="28"/>
          <w:szCs w:val="28"/>
        </w:rPr>
        <w:t>4</w:t>
      </w:r>
      <w:r w:rsidR="002B2EBB" w:rsidRPr="00FA3AF7">
        <w:rPr>
          <w:rFonts w:ascii="Times New Roman" w:hAnsi="Times New Roman"/>
          <w:sz w:val="28"/>
          <w:szCs w:val="28"/>
        </w:rPr>
        <w:t>]</w:t>
      </w:r>
      <w:r w:rsidRPr="00FA3AF7">
        <w:rPr>
          <w:rFonts w:ascii="Times New Roman" w:hAnsi="Times New Roman" w:cs="Times New Roman"/>
          <w:sz w:val="28"/>
          <w:szCs w:val="28"/>
        </w:rPr>
        <w:t xml:space="preserve">, Г.Б. Клейнера </w:t>
      </w:r>
      <w:r w:rsidRPr="00FA3AF7">
        <w:rPr>
          <w:rFonts w:ascii="Times New Roman" w:hAnsi="Times New Roman"/>
          <w:sz w:val="28"/>
          <w:szCs w:val="28"/>
        </w:rPr>
        <w:t>[</w:t>
      </w:r>
      <w:r w:rsidR="002B2EBB">
        <w:rPr>
          <w:rFonts w:ascii="Times New Roman" w:hAnsi="Times New Roman"/>
          <w:sz w:val="28"/>
          <w:szCs w:val="28"/>
        </w:rPr>
        <w:t>6</w:t>
      </w:r>
      <w:r w:rsidR="002B2EBB" w:rsidRPr="002B2EBB">
        <w:rPr>
          <w:rFonts w:ascii="Times New Roman" w:hAnsi="Times New Roman"/>
          <w:sz w:val="28"/>
          <w:szCs w:val="28"/>
        </w:rPr>
        <w:t>]</w:t>
      </w:r>
      <w:r w:rsidR="002B2EBB">
        <w:rPr>
          <w:rFonts w:ascii="Times New Roman" w:hAnsi="Times New Roman"/>
          <w:sz w:val="28"/>
          <w:szCs w:val="28"/>
        </w:rPr>
        <w:t>,</w:t>
      </w:r>
      <w:r w:rsidR="002B2EBB" w:rsidRPr="002B2EBB">
        <w:rPr>
          <w:rFonts w:ascii="Times New Roman" w:hAnsi="Times New Roman"/>
          <w:sz w:val="28"/>
          <w:szCs w:val="28"/>
        </w:rPr>
        <w:t xml:space="preserve"> [</w:t>
      </w:r>
      <w:r w:rsidR="002B2EBB">
        <w:rPr>
          <w:rFonts w:ascii="Times New Roman" w:hAnsi="Times New Roman"/>
          <w:sz w:val="28"/>
          <w:szCs w:val="28"/>
        </w:rPr>
        <w:t>7</w:t>
      </w:r>
      <w:r w:rsidRPr="00FA3AF7">
        <w:rPr>
          <w:rFonts w:ascii="Times New Roman" w:hAnsi="Times New Roman"/>
          <w:sz w:val="28"/>
          <w:szCs w:val="28"/>
        </w:rPr>
        <w:t>]</w:t>
      </w:r>
      <w:r w:rsidRPr="00FA3AF7">
        <w:rPr>
          <w:rFonts w:ascii="Times New Roman" w:hAnsi="Times New Roman" w:cs="Times New Roman"/>
          <w:sz w:val="28"/>
          <w:szCs w:val="28"/>
        </w:rPr>
        <w:t xml:space="preserve">, Р.М. Качалова </w:t>
      </w:r>
      <w:r w:rsidRPr="00FA3AF7">
        <w:rPr>
          <w:rFonts w:ascii="Times New Roman" w:hAnsi="Times New Roman"/>
          <w:sz w:val="28"/>
          <w:szCs w:val="28"/>
        </w:rPr>
        <w:t>[</w:t>
      </w:r>
      <w:r w:rsidR="002B2EBB">
        <w:rPr>
          <w:rFonts w:ascii="Times New Roman" w:hAnsi="Times New Roman"/>
          <w:sz w:val="28"/>
          <w:szCs w:val="28"/>
        </w:rPr>
        <w:t>5</w:t>
      </w:r>
      <w:r w:rsidRPr="00FA3AF7">
        <w:rPr>
          <w:rFonts w:ascii="Times New Roman" w:hAnsi="Times New Roman"/>
          <w:sz w:val="28"/>
          <w:szCs w:val="28"/>
        </w:rPr>
        <w:t>]</w:t>
      </w:r>
      <w:r w:rsidRPr="00FA3AF7">
        <w:rPr>
          <w:rFonts w:ascii="Times New Roman" w:hAnsi="Times New Roman" w:cs="Times New Roman"/>
          <w:sz w:val="28"/>
          <w:szCs w:val="28"/>
        </w:rPr>
        <w:t xml:space="preserve">, Д.С. Львова </w:t>
      </w:r>
      <w:r w:rsidRPr="00FA3AF7">
        <w:rPr>
          <w:rFonts w:ascii="Times New Roman" w:hAnsi="Times New Roman"/>
          <w:sz w:val="28"/>
          <w:szCs w:val="28"/>
        </w:rPr>
        <w:t>[</w:t>
      </w:r>
      <w:r w:rsidR="002B2EBB" w:rsidRPr="002B2EBB">
        <w:rPr>
          <w:rFonts w:ascii="Times New Roman" w:hAnsi="Times New Roman"/>
          <w:sz w:val="28"/>
          <w:szCs w:val="28"/>
        </w:rPr>
        <w:t>8</w:t>
      </w:r>
      <w:r w:rsidRPr="00FA3AF7">
        <w:rPr>
          <w:rFonts w:ascii="Times New Roman" w:hAnsi="Times New Roman"/>
          <w:sz w:val="28"/>
          <w:szCs w:val="28"/>
        </w:rPr>
        <w:t xml:space="preserve">], </w:t>
      </w:r>
      <w:r w:rsidRPr="00FA3AF7">
        <w:rPr>
          <w:rFonts w:ascii="Times New Roman" w:hAnsi="Times New Roman" w:cs="Times New Roman"/>
          <w:sz w:val="28"/>
          <w:szCs w:val="28"/>
        </w:rPr>
        <w:t xml:space="preserve">О.А. Романовой, О.С. Сухарева </w:t>
      </w:r>
      <w:r w:rsidRPr="00FA3AF7">
        <w:rPr>
          <w:rFonts w:ascii="Times New Roman" w:hAnsi="Times New Roman"/>
          <w:sz w:val="28"/>
          <w:szCs w:val="28"/>
        </w:rPr>
        <w:t>[</w:t>
      </w:r>
      <w:r w:rsidR="002B2EBB" w:rsidRPr="002B2EBB">
        <w:rPr>
          <w:rFonts w:ascii="Times New Roman" w:hAnsi="Times New Roman"/>
          <w:sz w:val="28"/>
          <w:szCs w:val="28"/>
        </w:rPr>
        <w:t>1</w:t>
      </w:r>
      <w:r w:rsidRPr="00FA3AF7">
        <w:rPr>
          <w:rFonts w:ascii="Times New Roman" w:hAnsi="Times New Roman"/>
          <w:sz w:val="28"/>
          <w:szCs w:val="28"/>
        </w:rPr>
        <w:t>1]</w:t>
      </w:r>
      <w:r w:rsidRPr="00FA3AF7">
        <w:rPr>
          <w:rFonts w:ascii="Times New Roman" w:hAnsi="Times New Roman" w:cs="Times New Roman"/>
          <w:sz w:val="28"/>
          <w:szCs w:val="28"/>
        </w:rPr>
        <w:t xml:space="preserve">, А.И. Татаркина </w:t>
      </w:r>
      <w:r w:rsidRPr="00FA3AF7">
        <w:rPr>
          <w:rFonts w:ascii="Times New Roman" w:hAnsi="Times New Roman"/>
          <w:sz w:val="28"/>
          <w:szCs w:val="28"/>
        </w:rPr>
        <w:t>[</w:t>
      </w:r>
      <w:r w:rsidR="002B2EBB" w:rsidRPr="002B2EBB">
        <w:rPr>
          <w:rFonts w:ascii="Times New Roman" w:hAnsi="Times New Roman"/>
          <w:sz w:val="28"/>
          <w:szCs w:val="28"/>
        </w:rPr>
        <w:t>1</w:t>
      </w:r>
      <w:r w:rsidRPr="00FA3AF7">
        <w:rPr>
          <w:rFonts w:ascii="Times New Roman" w:hAnsi="Times New Roman"/>
          <w:sz w:val="28"/>
          <w:szCs w:val="28"/>
        </w:rPr>
        <w:t>2]</w:t>
      </w:r>
      <w:r w:rsidRPr="00FA3AF7">
        <w:rPr>
          <w:rFonts w:ascii="Times New Roman" w:hAnsi="Times New Roman" w:cs="Times New Roman"/>
          <w:sz w:val="28"/>
          <w:szCs w:val="28"/>
        </w:rPr>
        <w:t xml:space="preserve">, </w:t>
      </w:r>
      <w:r w:rsidR="001526A6">
        <w:rPr>
          <w:rFonts w:ascii="Times New Roman" w:hAnsi="Times New Roman" w:cs="Times New Roman"/>
          <w:sz w:val="28"/>
          <w:szCs w:val="28"/>
        </w:rPr>
        <w:t xml:space="preserve">И.Н. Щепиной </w:t>
      </w:r>
      <w:r w:rsidR="001526A6" w:rsidRPr="001526A6">
        <w:rPr>
          <w:rFonts w:ascii="Times New Roman" w:hAnsi="Times New Roman" w:cs="Times New Roman"/>
          <w:sz w:val="28"/>
          <w:szCs w:val="28"/>
        </w:rPr>
        <w:t>[</w:t>
      </w:r>
      <w:r w:rsidR="002B2EBB">
        <w:rPr>
          <w:rFonts w:ascii="Times New Roman" w:hAnsi="Times New Roman" w:cs="Times New Roman"/>
          <w:sz w:val="28"/>
          <w:szCs w:val="28"/>
        </w:rPr>
        <w:t>2</w:t>
      </w:r>
      <w:r w:rsidR="001526A6" w:rsidRPr="001526A6">
        <w:rPr>
          <w:rFonts w:ascii="Times New Roman" w:hAnsi="Times New Roman" w:cs="Times New Roman"/>
          <w:sz w:val="28"/>
          <w:szCs w:val="28"/>
        </w:rPr>
        <w:t>]</w:t>
      </w:r>
      <w:r w:rsidR="001526A6">
        <w:rPr>
          <w:rFonts w:ascii="Times New Roman" w:hAnsi="Times New Roman" w:cs="Times New Roman"/>
          <w:sz w:val="28"/>
          <w:szCs w:val="28"/>
        </w:rPr>
        <w:t xml:space="preserve">, В.Н. Эйтингона </w:t>
      </w:r>
      <w:r w:rsidRPr="00FA3AF7">
        <w:rPr>
          <w:rFonts w:ascii="Times New Roman" w:hAnsi="Times New Roman" w:cs="Times New Roman"/>
          <w:sz w:val="28"/>
          <w:szCs w:val="28"/>
        </w:rPr>
        <w:t>и др. авторов.</w:t>
      </w:r>
    </w:p>
    <w:p w14:paraId="5C29E83F" w14:textId="1BA5CC7C" w:rsidR="00FA3AF7" w:rsidRPr="00CF6E98" w:rsidRDefault="000D1535" w:rsidP="00CF6E98">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С</w:t>
      </w:r>
      <w:r w:rsidRPr="00FA3AF7">
        <w:rPr>
          <w:rFonts w:ascii="Times New Roman" w:hAnsi="Times New Roman" w:cs="Times New Roman"/>
          <w:sz w:val="28"/>
          <w:szCs w:val="28"/>
        </w:rPr>
        <w:t xml:space="preserve">ущественный вклад </w:t>
      </w:r>
      <w:r>
        <w:rPr>
          <w:rFonts w:ascii="Times New Roman" w:hAnsi="Times New Roman" w:cs="Times New Roman"/>
          <w:sz w:val="28"/>
          <w:szCs w:val="28"/>
        </w:rPr>
        <w:t>в</w:t>
      </w:r>
      <w:r w:rsidR="00FA3AF7" w:rsidRPr="00FA3AF7">
        <w:rPr>
          <w:rFonts w:ascii="Times New Roman" w:hAnsi="Times New Roman" w:cs="Times New Roman"/>
          <w:sz w:val="28"/>
          <w:szCs w:val="28"/>
        </w:rPr>
        <w:t xml:space="preserve"> развитие методологии и методики оценки эффективности инвестиционных проектов внесли </w:t>
      </w:r>
      <w:r>
        <w:rPr>
          <w:rFonts w:ascii="Times New Roman" w:hAnsi="Times New Roman" w:cs="Times New Roman"/>
          <w:sz w:val="28"/>
          <w:szCs w:val="28"/>
        </w:rPr>
        <w:t xml:space="preserve">российские ученые </w:t>
      </w:r>
      <w:r w:rsidR="00FA3AF7" w:rsidRPr="00FA3AF7">
        <w:rPr>
          <w:rFonts w:ascii="Times New Roman" w:hAnsi="Times New Roman" w:cs="Times New Roman"/>
          <w:bCs/>
          <w:sz w:val="28"/>
          <w:szCs w:val="28"/>
        </w:rPr>
        <w:t xml:space="preserve">П.Л. Виленский, Л. В. Канторович, В.В. Коссов, В.Н. </w:t>
      </w:r>
      <w:r w:rsidR="00FA3AF7" w:rsidRPr="00CF6E98">
        <w:rPr>
          <w:rFonts w:ascii="Times New Roman" w:hAnsi="Times New Roman" w:cs="Times New Roman"/>
          <w:bCs/>
          <w:sz w:val="28"/>
          <w:szCs w:val="28"/>
        </w:rPr>
        <w:t xml:space="preserve">Лившиц </w:t>
      </w:r>
      <w:r w:rsidR="00FA3AF7" w:rsidRPr="00CF6E98">
        <w:rPr>
          <w:rFonts w:ascii="Times New Roman" w:hAnsi="Times New Roman"/>
          <w:sz w:val="28"/>
          <w:szCs w:val="28"/>
        </w:rPr>
        <w:t>[</w:t>
      </w:r>
      <w:r w:rsidR="002B2EBB" w:rsidRPr="00CF6E98">
        <w:rPr>
          <w:rFonts w:ascii="Times New Roman" w:hAnsi="Times New Roman"/>
          <w:sz w:val="28"/>
          <w:szCs w:val="28"/>
        </w:rPr>
        <w:t>9</w:t>
      </w:r>
      <w:r w:rsidR="00FA3AF7" w:rsidRPr="00CF6E98">
        <w:rPr>
          <w:rFonts w:ascii="Times New Roman" w:hAnsi="Times New Roman"/>
          <w:sz w:val="28"/>
          <w:szCs w:val="28"/>
        </w:rPr>
        <w:t>]</w:t>
      </w:r>
      <w:r w:rsidR="00FA3AF7" w:rsidRPr="00CF6E98">
        <w:rPr>
          <w:rFonts w:ascii="Times New Roman" w:eastAsia="Times New Roman" w:hAnsi="Times New Roman" w:cs="Times New Roman"/>
          <w:sz w:val="28"/>
          <w:szCs w:val="28"/>
          <w:lang w:eastAsia="ru-RU"/>
        </w:rPr>
        <w:t>,</w:t>
      </w:r>
      <w:r w:rsidR="00FA3AF7" w:rsidRPr="00CF6E98">
        <w:rPr>
          <w:rFonts w:ascii="Times New Roman" w:hAnsi="Times New Roman" w:cs="Times New Roman"/>
          <w:bCs/>
          <w:sz w:val="28"/>
          <w:szCs w:val="28"/>
        </w:rPr>
        <w:t xml:space="preserve"> Д. С. Львов, С.А.</w:t>
      </w:r>
      <w:r w:rsidR="00FA3AF7" w:rsidRPr="00CF6E98">
        <w:rPr>
          <w:rFonts w:ascii="Times New Roman" w:hAnsi="Times New Roman" w:cs="Times New Roman"/>
          <w:sz w:val="28"/>
          <w:szCs w:val="28"/>
        </w:rPr>
        <w:t xml:space="preserve"> </w:t>
      </w:r>
      <w:r w:rsidR="00FA3AF7" w:rsidRPr="00CF6E98">
        <w:rPr>
          <w:rFonts w:ascii="Times New Roman" w:hAnsi="Times New Roman" w:cs="Times New Roman"/>
          <w:bCs/>
          <w:sz w:val="28"/>
          <w:szCs w:val="28"/>
        </w:rPr>
        <w:t>Смоляк, А. Г. Шахназаров</w:t>
      </w:r>
      <w:r w:rsidR="002B2EBB" w:rsidRPr="00CF6E98">
        <w:rPr>
          <w:rFonts w:ascii="Times New Roman" w:hAnsi="Times New Roman" w:cs="Times New Roman"/>
          <w:bCs/>
          <w:sz w:val="28"/>
          <w:szCs w:val="28"/>
        </w:rPr>
        <w:t xml:space="preserve"> </w:t>
      </w:r>
      <w:r w:rsidR="00FA3AF7" w:rsidRPr="00CF6E98">
        <w:rPr>
          <w:rFonts w:ascii="Times New Roman" w:hAnsi="Times New Roman" w:cs="Times New Roman"/>
          <w:bCs/>
          <w:sz w:val="28"/>
          <w:szCs w:val="28"/>
        </w:rPr>
        <w:t xml:space="preserve">и др. </w:t>
      </w:r>
    </w:p>
    <w:p w14:paraId="3FCEF5A7" w14:textId="4F46828C" w:rsidR="006519BB" w:rsidRDefault="00597053" w:rsidP="006519BB">
      <w:pPr>
        <w:spacing w:after="0" w:line="240" w:lineRule="auto"/>
        <w:ind w:firstLine="709"/>
        <w:jc w:val="both"/>
        <w:rPr>
          <w:rFonts w:ascii="Times New Roman" w:hAnsi="Times New Roman" w:cs="Times New Roman"/>
          <w:sz w:val="28"/>
          <w:szCs w:val="28"/>
        </w:rPr>
      </w:pPr>
      <w:r w:rsidRPr="00CF6E98">
        <w:rPr>
          <w:rFonts w:ascii="Times New Roman" w:hAnsi="Times New Roman" w:cs="Times New Roman"/>
          <w:sz w:val="28"/>
          <w:szCs w:val="28"/>
        </w:rPr>
        <w:t xml:space="preserve">Автор разрабатывает </w:t>
      </w:r>
      <w:r w:rsidR="000106A3" w:rsidRPr="00CF6E98">
        <w:rPr>
          <w:rFonts w:ascii="Times New Roman" w:hAnsi="Times New Roman" w:cs="Times New Roman"/>
          <w:sz w:val="28"/>
          <w:szCs w:val="28"/>
        </w:rPr>
        <w:t>методик</w:t>
      </w:r>
      <w:r w:rsidRPr="00CF6E98">
        <w:rPr>
          <w:rFonts w:ascii="Times New Roman" w:hAnsi="Times New Roman" w:cs="Times New Roman"/>
          <w:sz w:val="28"/>
          <w:szCs w:val="28"/>
        </w:rPr>
        <w:t>у</w:t>
      </w:r>
      <w:r w:rsidR="000106A3" w:rsidRPr="00CF6E98">
        <w:rPr>
          <w:rFonts w:ascii="Times New Roman" w:hAnsi="Times New Roman" w:cs="Times New Roman"/>
          <w:sz w:val="28"/>
          <w:szCs w:val="28"/>
        </w:rPr>
        <w:t xml:space="preserve"> оценки экономических эффектов реализации государственных программ</w:t>
      </w:r>
      <w:r w:rsidR="003E4AFD">
        <w:rPr>
          <w:rFonts w:ascii="Times New Roman" w:hAnsi="Times New Roman" w:cs="Times New Roman"/>
          <w:sz w:val="28"/>
          <w:szCs w:val="28"/>
        </w:rPr>
        <w:t>, имеющих своей целью (и/или задачами)</w:t>
      </w:r>
      <w:r w:rsidR="000106A3" w:rsidRPr="00CF6E98">
        <w:rPr>
          <w:rFonts w:ascii="Times New Roman" w:hAnsi="Times New Roman" w:cs="Times New Roman"/>
          <w:sz w:val="28"/>
          <w:szCs w:val="28"/>
        </w:rPr>
        <w:t xml:space="preserve"> </w:t>
      </w:r>
      <w:r w:rsidR="003E4AFD">
        <w:rPr>
          <w:rFonts w:ascii="Times New Roman" w:hAnsi="Times New Roman" w:cs="Times New Roman"/>
          <w:sz w:val="28"/>
          <w:szCs w:val="28"/>
        </w:rPr>
        <w:t>реализацию структурных изменений в</w:t>
      </w:r>
      <w:r w:rsidR="000106A3" w:rsidRPr="00CF6E98">
        <w:rPr>
          <w:rFonts w:ascii="Times New Roman" w:hAnsi="Times New Roman" w:cs="Times New Roman"/>
          <w:sz w:val="28"/>
          <w:szCs w:val="28"/>
        </w:rPr>
        <w:t xml:space="preserve"> промышленности. </w:t>
      </w:r>
      <w:r w:rsidR="00984C2E">
        <w:rPr>
          <w:rFonts w:ascii="Times New Roman" w:hAnsi="Times New Roman" w:cs="Times New Roman"/>
          <w:sz w:val="28"/>
          <w:szCs w:val="28"/>
        </w:rPr>
        <w:t>Г</w:t>
      </w:r>
      <w:r w:rsidR="00984C2E" w:rsidRPr="00CF6E98">
        <w:rPr>
          <w:rFonts w:ascii="Times New Roman" w:hAnsi="Times New Roman" w:cs="Times New Roman"/>
          <w:sz w:val="28"/>
          <w:szCs w:val="28"/>
        </w:rPr>
        <w:t>осударственн</w:t>
      </w:r>
      <w:r w:rsidR="00984C2E">
        <w:rPr>
          <w:rFonts w:ascii="Times New Roman" w:hAnsi="Times New Roman" w:cs="Times New Roman"/>
          <w:sz w:val="28"/>
          <w:szCs w:val="28"/>
        </w:rPr>
        <w:t>ая</w:t>
      </w:r>
      <w:r w:rsidR="00984C2E" w:rsidRPr="00CF6E98">
        <w:rPr>
          <w:rFonts w:ascii="Times New Roman" w:hAnsi="Times New Roman" w:cs="Times New Roman"/>
          <w:sz w:val="28"/>
          <w:szCs w:val="28"/>
        </w:rPr>
        <w:t xml:space="preserve"> программ</w:t>
      </w:r>
      <w:r w:rsidR="00984C2E">
        <w:rPr>
          <w:rFonts w:ascii="Times New Roman" w:hAnsi="Times New Roman" w:cs="Times New Roman"/>
          <w:sz w:val="28"/>
          <w:szCs w:val="28"/>
        </w:rPr>
        <w:t>а рассматривается автором</w:t>
      </w:r>
      <w:r w:rsidR="00984C2E" w:rsidRPr="00CF6E98">
        <w:rPr>
          <w:rFonts w:ascii="Times New Roman" w:hAnsi="Times New Roman" w:cs="Times New Roman"/>
          <w:sz w:val="28"/>
          <w:szCs w:val="28"/>
        </w:rPr>
        <w:t xml:space="preserve"> </w:t>
      </w:r>
      <w:r w:rsidR="00984C2E">
        <w:rPr>
          <w:rFonts w:ascii="Times New Roman" w:hAnsi="Times New Roman" w:cs="Times New Roman"/>
          <w:sz w:val="28"/>
          <w:szCs w:val="28"/>
        </w:rPr>
        <w:t xml:space="preserve">данного исследования </w:t>
      </w:r>
      <w:r w:rsidR="00984C2E" w:rsidRPr="00CF6E98">
        <w:rPr>
          <w:rFonts w:ascii="Times New Roman" w:hAnsi="Times New Roman" w:cs="Times New Roman"/>
          <w:sz w:val="28"/>
          <w:szCs w:val="28"/>
        </w:rPr>
        <w:t xml:space="preserve">как инвестиционный проект и как инструмент структурной </w:t>
      </w:r>
      <w:r w:rsidR="00984C2E" w:rsidRPr="00CF6E98">
        <w:rPr>
          <w:rFonts w:ascii="Times New Roman" w:hAnsi="Times New Roman" w:cs="Times New Roman"/>
          <w:sz w:val="28"/>
          <w:szCs w:val="28"/>
        </w:rPr>
        <w:lastRenderedPageBreak/>
        <w:t xml:space="preserve">промышленной политики. </w:t>
      </w:r>
      <w:r w:rsidR="000106A3" w:rsidRPr="00CF6E98">
        <w:rPr>
          <w:rFonts w:ascii="Times New Roman" w:hAnsi="Times New Roman" w:cs="Times New Roman"/>
          <w:sz w:val="28"/>
          <w:szCs w:val="28"/>
        </w:rPr>
        <w:t xml:space="preserve">Предлагаемая методика </w:t>
      </w:r>
      <w:r w:rsidR="008C31EE" w:rsidRPr="005379BB">
        <w:rPr>
          <w:rFonts w:ascii="Times New Roman" w:hAnsi="Times New Roman" w:cs="Times New Roman"/>
          <w:sz w:val="28"/>
          <w:szCs w:val="28"/>
        </w:rPr>
        <w:t>[10]</w:t>
      </w:r>
      <w:r w:rsidR="008C31EE">
        <w:rPr>
          <w:rFonts w:ascii="Times New Roman" w:hAnsi="Times New Roman" w:cs="Times New Roman"/>
          <w:sz w:val="28"/>
          <w:szCs w:val="28"/>
        </w:rPr>
        <w:t xml:space="preserve"> </w:t>
      </w:r>
      <w:r w:rsidR="000106A3" w:rsidRPr="00CF6E98">
        <w:rPr>
          <w:rFonts w:ascii="Times New Roman" w:hAnsi="Times New Roman" w:cs="Times New Roman"/>
          <w:sz w:val="28"/>
          <w:szCs w:val="28"/>
        </w:rPr>
        <w:t xml:space="preserve">отличается от традиционно используемой системы показателей оценки эффективности инвестиционных проектов (включающей чистый доход, чистый дисконтируемый доход, внутреннюю норму доходности и т.д.), </w:t>
      </w:r>
      <w:r w:rsidR="006519BB">
        <w:rPr>
          <w:rFonts w:ascii="Times New Roman" w:hAnsi="Times New Roman" w:cs="Times New Roman"/>
          <w:sz w:val="28"/>
          <w:szCs w:val="28"/>
        </w:rPr>
        <w:t xml:space="preserve">обоснованием включения показателей объема, динамики денежных потоков и их соотношения между управляемой и управляющей подсистемами, по отдельным инструментам и объектам управления </w:t>
      </w:r>
      <w:r w:rsidR="00012FCB">
        <w:rPr>
          <w:rFonts w:ascii="Times New Roman" w:hAnsi="Times New Roman" w:cs="Times New Roman"/>
          <w:sz w:val="28"/>
          <w:szCs w:val="28"/>
        </w:rPr>
        <w:t>(Рис. 1)</w:t>
      </w:r>
      <w:r w:rsidR="000106A3" w:rsidRPr="00CF6E98">
        <w:rPr>
          <w:rFonts w:ascii="Times New Roman" w:hAnsi="Times New Roman" w:cs="Times New Roman"/>
          <w:sz w:val="28"/>
          <w:szCs w:val="28"/>
        </w:rPr>
        <w:t>, что дает возможность оценить эффекты государственной программы как инструмента структурной промышленной политики.</w:t>
      </w:r>
      <w:r w:rsidR="006519BB">
        <w:rPr>
          <w:rFonts w:ascii="Times New Roman" w:hAnsi="Times New Roman" w:cs="Times New Roman"/>
          <w:sz w:val="28"/>
          <w:szCs w:val="28"/>
        </w:rPr>
        <w:t xml:space="preserve"> Анализ денежных потоков носит межсубъектный характер и показывает влияние процесса перераспределения через механизм программы между участниками государственной программы на структуру промышленности, а также на структуру экономики.</w:t>
      </w:r>
    </w:p>
    <w:p w14:paraId="243CEB80" w14:textId="1F524CD4" w:rsidR="000106A3" w:rsidRPr="00CF6E98" w:rsidRDefault="00525981" w:rsidP="00277E33">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Известно, что д</w:t>
      </w:r>
      <w:r w:rsidR="000106A3" w:rsidRPr="00CF6E98">
        <w:rPr>
          <w:rFonts w:ascii="Times New Roman" w:eastAsiaTheme="minorEastAsia" w:hAnsi="Times New Roman" w:cs="Times New Roman"/>
          <w:sz w:val="28"/>
          <w:szCs w:val="28"/>
        </w:rPr>
        <w:t>ля признания госпрограммы эффективной необходимо, чтобы ЧДД в целом по программе, как по проекту, был положительным</w:t>
      </w:r>
      <w:r w:rsidR="005379BB" w:rsidRPr="005379BB">
        <w:rPr>
          <w:rFonts w:ascii="Times New Roman" w:eastAsiaTheme="minorEastAsia" w:hAnsi="Times New Roman" w:cs="Times New Roman"/>
          <w:sz w:val="28"/>
          <w:szCs w:val="28"/>
        </w:rPr>
        <w:t xml:space="preserve"> [9]</w:t>
      </w:r>
      <w:r w:rsidR="000106A3" w:rsidRPr="00CF6E98">
        <w:rPr>
          <w:rFonts w:ascii="Times New Roman" w:eastAsiaTheme="minorEastAsia" w:hAnsi="Times New Roman" w:cs="Times New Roman"/>
          <w:sz w:val="28"/>
          <w:szCs w:val="28"/>
        </w:rPr>
        <w:t>. В то же время, госпрограмма как инструмент структурной промышленной политики должна иметь своей целью формирование определенной структуры промышленности</w:t>
      </w:r>
      <w:r w:rsidR="003E4AFD">
        <w:rPr>
          <w:rFonts w:ascii="Times New Roman" w:eastAsiaTheme="minorEastAsia" w:hAnsi="Times New Roman" w:cs="Times New Roman"/>
          <w:sz w:val="28"/>
          <w:szCs w:val="28"/>
        </w:rPr>
        <w:t xml:space="preserve"> </w:t>
      </w:r>
      <w:r w:rsidR="003E4AFD">
        <w:rPr>
          <w:rFonts w:ascii="Times New Roman" w:hAnsi="Times New Roman" w:cs="Times New Roman"/>
          <w:sz w:val="28"/>
          <w:szCs w:val="28"/>
        </w:rPr>
        <w:t>[10]</w:t>
      </w:r>
      <w:r w:rsidR="000106A3" w:rsidRPr="00CF6E98">
        <w:rPr>
          <w:rFonts w:ascii="Times New Roman" w:eastAsiaTheme="minorEastAsia" w:hAnsi="Times New Roman" w:cs="Times New Roman"/>
          <w:sz w:val="28"/>
          <w:szCs w:val="28"/>
        </w:rPr>
        <w:t xml:space="preserve">. </w:t>
      </w:r>
      <w:r w:rsidR="00277E33" w:rsidRPr="00277E33">
        <w:rPr>
          <w:rFonts w:ascii="Times New Roman" w:hAnsi="Times New Roman" w:cs="Times New Roman"/>
          <w:sz w:val="28"/>
          <w:szCs w:val="28"/>
        </w:rPr>
        <w:t>Объем, структура и динамика денежных потоков государственной программы, если в ее целях и задачах значится изменение структуры промышленного комплекса (импортозамещение, создание высокопроизводительных рабочих мест, увеличение доли высокотехнологичного экспорта, увеличение производства инновационной продукции и т.д.), должны быть таковы, чтобы в конце реализации государственной программы достичь планируемых результатов в виде желаемой структуры промышленности и на каждом шаге достичь запланированных промежуточных результатов</w:t>
      </w:r>
      <w:r w:rsidR="005379BB" w:rsidRPr="005379BB">
        <w:rPr>
          <w:rFonts w:ascii="Times New Roman" w:hAnsi="Times New Roman" w:cs="Times New Roman"/>
          <w:sz w:val="28"/>
          <w:szCs w:val="28"/>
        </w:rPr>
        <w:t xml:space="preserve"> </w:t>
      </w:r>
      <w:r w:rsidR="005379BB">
        <w:rPr>
          <w:rFonts w:ascii="Times New Roman" w:hAnsi="Times New Roman" w:cs="Times New Roman"/>
          <w:sz w:val="28"/>
          <w:szCs w:val="28"/>
        </w:rPr>
        <w:t>[10]</w:t>
      </w:r>
      <w:r w:rsidR="00277E33" w:rsidRPr="00277E33">
        <w:rPr>
          <w:rFonts w:ascii="Times New Roman" w:hAnsi="Times New Roman" w:cs="Times New Roman"/>
          <w:sz w:val="28"/>
          <w:szCs w:val="28"/>
        </w:rPr>
        <w:t xml:space="preserve">. </w:t>
      </w:r>
      <w:r w:rsidR="000106A3" w:rsidRPr="00277E33">
        <w:rPr>
          <w:rFonts w:ascii="Times New Roman" w:eastAsiaTheme="minorEastAsia" w:hAnsi="Times New Roman" w:cs="Times New Roman"/>
          <w:sz w:val="28"/>
          <w:szCs w:val="28"/>
        </w:rPr>
        <w:t>Эта структура может формироваться (достигаться) как путем</w:t>
      </w:r>
      <w:r w:rsidR="000106A3" w:rsidRPr="00CF6E98">
        <w:rPr>
          <w:rFonts w:ascii="Times New Roman" w:eastAsiaTheme="minorEastAsia" w:hAnsi="Times New Roman" w:cs="Times New Roman"/>
          <w:sz w:val="28"/>
          <w:szCs w:val="28"/>
        </w:rPr>
        <w:t xml:space="preserve"> реализации эффективных проектов (эффективных госпрограмм) (с разными значениями показателей эффективности), так и путем реализации неэффективных (проектов) программ. Результаты оценки достижения целевой структуры промышленности и показателей эффективности государственной программы как инвестиционного проекта могут противоречить друг другу. Для того, чтобы решить эту проблему автор предлагает рассматривать достижение целевой структуры промышленного комплекса как решение важной (значимой) народнохозяйственной задачи</w:t>
      </w:r>
      <w:r w:rsidR="005379BB" w:rsidRPr="005379BB">
        <w:rPr>
          <w:rFonts w:ascii="Times New Roman" w:eastAsiaTheme="minorEastAsia" w:hAnsi="Times New Roman" w:cs="Times New Roman"/>
          <w:sz w:val="28"/>
          <w:szCs w:val="28"/>
        </w:rPr>
        <w:t xml:space="preserve"> </w:t>
      </w:r>
      <w:r w:rsidR="005379BB">
        <w:rPr>
          <w:rFonts w:ascii="Times New Roman" w:hAnsi="Times New Roman" w:cs="Times New Roman"/>
          <w:sz w:val="28"/>
          <w:szCs w:val="28"/>
        </w:rPr>
        <w:t>[10]</w:t>
      </w:r>
      <w:r w:rsidR="000106A3" w:rsidRPr="00CF6E98">
        <w:rPr>
          <w:rFonts w:ascii="Times New Roman" w:eastAsiaTheme="minorEastAsia" w:hAnsi="Times New Roman" w:cs="Times New Roman"/>
          <w:sz w:val="28"/>
          <w:szCs w:val="28"/>
        </w:rPr>
        <w:t xml:space="preserve">, а при оценке </w:t>
      </w:r>
      <w:r w:rsidR="000106A3" w:rsidRPr="00CF6E98">
        <w:rPr>
          <w:rFonts w:ascii="Times New Roman" w:eastAsia="Calibri" w:hAnsi="Times New Roman" w:cs="Times New Roman"/>
          <w:sz w:val="28"/>
          <w:szCs w:val="28"/>
        </w:rPr>
        <w:t xml:space="preserve">общественной значимости госпрограммы как инструмента структурной промышленной политики следует учитывать «стоимостную оценку последствий осуществления данного проекта…» </w:t>
      </w:r>
      <w:r w:rsidR="000106A3" w:rsidRPr="00CF6E98">
        <w:rPr>
          <w:rFonts w:ascii="Times New Roman" w:hAnsi="Times New Roman" w:cs="Times New Roman"/>
          <w:sz w:val="28"/>
          <w:szCs w:val="28"/>
        </w:rPr>
        <w:t>[</w:t>
      </w:r>
      <w:r w:rsidR="00597053" w:rsidRPr="00CF6E98">
        <w:rPr>
          <w:rFonts w:ascii="Times New Roman" w:hAnsi="Times New Roman" w:cs="Times New Roman"/>
          <w:sz w:val="28"/>
          <w:szCs w:val="28"/>
        </w:rPr>
        <w:t>9</w:t>
      </w:r>
      <w:r w:rsidR="000106A3" w:rsidRPr="00CF6E98">
        <w:rPr>
          <w:rFonts w:ascii="Times New Roman" w:hAnsi="Times New Roman" w:cs="Times New Roman"/>
          <w:sz w:val="28"/>
          <w:szCs w:val="28"/>
        </w:rPr>
        <w:t>]</w:t>
      </w:r>
      <w:r w:rsidR="000106A3" w:rsidRPr="00CF6E98">
        <w:rPr>
          <w:rFonts w:ascii="Times New Roman" w:eastAsia="Calibri" w:hAnsi="Times New Roman" w:cs="Times New Roman"/>
          <w:sz w:val="28"/>
          <w:szCs w:val="28"/>
        </w:rPr>
        <w:t>, а также оценивать ущерб, который может наступить в случае отказа от реализации программ структурных изменений в промышленности</w:t>
      </w:r>
      <w:r w:rsidR="005379BB" w:rsidRPr="005379BB">
        <w:rPr>
          <w:rFonts w:ascii="Times New Roman" w:eastAsia="Calibri" w:hAnsi="Times New Roman" w:cs="Times New Roman"/>
          <w:sz w:val="28"/>
          <w:szCs w:val="28"/>
        </w:rPr>
        <w:t xml:space="preserve"> </w:t>
      </w:r>
      <w:r w:rsidR="005379BB">
        <w:rPr>
          <w:rFonts w:ascii="Times New Roman" w:hAnsi="Times New Roman" w:cs="Times New Roman"/>
          <w:sz w:val="28"/>
          <w:szCs w:val="28"/>
        </w:rPr>
        <w:t>[10]</w:t>
      </w:r>
      <w:r w:rsidR="000106A3" w:rsidRPr="00CF6E98">
        <w:rPr>
          <w:rFonts w:ascii="Times New Roman" w:eastAsiaTheme="minorEastAsia" w:hAnsi="Times New Roman" w:cs="Times New Roman"/>
          <w:sz w:val="28"/>
          <w:szCs w:val="28"/>
        </w:rPr>
        <w:t xml:space="preserve">. </w:t>
      </w:r>
    </w:p>
    <w:p w14:paraId="50234E50" w14:textId="605DB75C" w:rsidR="000106A3" w:rsidRPr="00CF6E98" w:rsidRDefault="000106A3" w:rsidP="00CF6E98">
      <w:pPr>
        <w:pStyle w:val="ad"/>
        <w:spacing w:before="0" w:beforeAutospacing="0" w:after="0" w:afterAutospacing="0"/>
        <w:ind w:firstLine="709"/>
        <w:jc w:val="both"/>
        <w:rPr>
          <w:sz w:val="28"/>
          <w:szCs w:val="28"/>
        </w:rPr>
      </w:pPr>
      <w:r w:rsidRPr="00CF6E98">
        <w:rPr>
          <w:sz w:val="28"/>
          <w:szCs w:val="28"/>
        </w:rPr>
        <w:t xml:space="preserve">На первом этапе оценки эффективности госпрограммы дается и обосновывается оценка общественной значимости госпрограммы как инструмента структурных изменений и ущерб, который может наступить в </w:t>
      </w:r>
      <w:r w:rsidRPr="00CF6E98">
        <w:rPr>
          <w:sz w:val="28"/>
          <w:szCs w:val="28"/>
        </w:rPr>
        <w:lastRenderedPageBreak/>
        <w:t>случае отказа от реализации госпрограммы, а также производится о</w:t>
      </w:r>
      <w:r w:rsidRPr="00CF6E98">
        <w:rPr>
          <w:rFonts w:eastAsia="Calibri"/>
          <w:sz w:val="28"/>
          <w:szCs w:val="28"/>
        </w:rPr>
        <w:t xml:space="preserve">ценка общественной эффективности госпрограммы. </w:t>
      </w:r>
    </w:p>
    <w:p w14:paraId="02767CB7" w14:textId="5DDF0A31" w:rsidR="00012FCB" w:rsidRDefault="00012FCB" w:rsidP="00012FCB">
      <w:pPr>
        <w:spacing w:after="0" w:line="240" w:lineRule="auto"/>
        <w:jc w:val="both"/>
        <w:rPr>
          <w:rFonts w:ascii="Times New Roman" w:hAnsi="Times New Roman" w:cs="Times New Roman"/>
          <w:sz w:val="28"/>
          <w:szCs w:val="28"/>
        </w:rPr>
      </w:pPr>
      <w:r>
        <w:rPr>
          <w:noProof/>
          <w:lang w:eastAsia="ru-RU"/>
        </w:rPr>
        <mc:AlternateContent>
          <mc:Choice Requires="wpc">
            <w:drawing>
              <wp:inline distT="0" distB="0" distL="0" distR="0" wp14:anchorId="44AB4491" wp14:editId="3497AA40">
                <wp:extent cx="5486400" cy="7162800"/>
                <wp:effectExtent l="0" t="0" r="0" b="0"/>
                <wp:docPr id="31" name="Полотно 3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7" name="Прямоугольник 2"/>
                        <wps:cNvSpPr>
                          <a:spLocks noChangeArrowheads="1"/>
                        </wps:cNvSpPr>
                        <wps:spPr bwMode="auto">
                          <a:xfrm>
                            <a:off x="57100" y="481800"/>
                            <a:ext cx="1219200" cy="8684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03DC2A9" w14:textId="77777777" w:rsidR="00012FCB" w:rsidRDefault="00012FCB" w:rsidP="008C31EE">
                              <w:pPr>
                                <w:spacing w:after="0" w:line="240" w:lineRule="auto"/>
                                <w:jc w:val="center"/>
                              </w:pPr>
                              <w:r>
                                <w:rPr>
                                  <w:rFonts w:ascii="Times New Roman" w:hAnsi="Times New Roman"/>
                                  <w:sz w:val="24"/>
                                  <w:szCs w:val="24"/>
                                </w:rPr>
                                <w:t>управляющая и управляемая подсистемы</w:t>
                              </w:r>
                            </w:p>
                          </w:txbxContent>
                        </wps:txbx>
                        <wps:bodyPr rot="0" vert="horz" wrap="square" lIns="91440" tIns="45720" rIns="91440" bIns="45720" anchor="ctr" anchorCtr="0" upright="1">
                          <a:noAutofit/>
                        </wps:bodyPr>
                      </wps:wsp>
                      <wps:wsp>
                        <wps:cNvPr id="18" name="Прямоугольник 3"/>
                        <wps:cNvSpPr>
                          <a:spLocks noChangeArrowheads="1"/>
                        </wps:cNvSpPr>
                        <wps:spPr bwMode="auto">
                          <a:xfrm>
                            <a:off x="1714500" y="2122400"/>
                            <a:ext cx="3656600" cy="31163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C61A18A"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а) отраслевая (и товарная) структура промышленного производства;</w:t>
                              </w:r>
                            </w:p>
                            <w:p w14:paraId="587F044C"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б) технологическая структура промышленного производства;</w:t>
                              </w:r>
                            </w:p>
                            <w:p w14:paraId="1BD4B74C"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товарная структура промышленного экспорта;</w:t>
                              </w:r>
                            </w:p>
                            <w:p w14:paraId="4A88905D"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 структура внутреннего потребления товаров и услуг промышленных предприятий (импортные товары и услуги; отечественные (импортозамещающие) товары и услуги);</w:t>
                              </w:r>
                            </w:p>
                            <w:p w14:paraId="74170AA3"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 структура рабочих мест в промышленности;</w:t>
                              </w:r>
                            </w:p>
                            <w:p w14:paraId="32FFFAAA"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 институциональная (нормативная) (в том числе, стандарты) и методическая структура управления структурными изменениями в промышленности;</w:t>
                              </w:r>
                            </w:p>
                            <w:p w14:paraId="21401185"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ж) производительность труда, эффективность функционирования (прибыль, рентабельность), конкурентоспособность промышленного комплекса и т.д.</w:t>
                              </w:r>
                            </w:p>
                            <w:p w14:paraId="31ECD2EA" w14:textId="77777777" w:rsidR="00012FCB" w:rsidRDefault="00012FCB" w:rsidP="00012FCB">
                              <w:pPr>
                                <w:jc w:val="center"/>
                              </w:pPr>
                            </w:p>
                          </w:txbxContent>
                        </wps:txbx>
                        <wps:bodyPr rot="0" vert="horz" wrap="square" lIns="91440" tIns="45720" rIns="91440" bIns="45720" anchor="ctr" anchorCtr="0" upright="1">
                          <a:noAutofit/>
                        </wps:bodyPr>
                      </wps:wsp>
                      <wps:wsp>
                        <wps:cNvPr id="19" name="Прямоугольник 4"/>
                        <wps:cNvSpPr>
                          <a:spLocks noChangeArrowheads="1"/>
                        </wps:cNvSpPr>
                        <wps:spPr bwMode="auto">
                          <a:xfrm>
                            <a:off x="1714500" y="827500"/>
                            <a:ext cx="3694700" cy="6584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5642C4E" w14:textId="77777777" w:rsidR="00012FCB" w:rsidRDefault="00012FCB" w:rsidP="008C3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инфраструктура госпрограммы: институты развития и институты рынка (коммерческие банки, лизинговые компании и т.д.)</w:t>
                              </w:r>
                            </w:p>
                          </w:txbxContent>
                        </wps:txbx>
                        <wps:bodyPr rot="0" vert="horz" wrap="square" lIns="91440" tIns="45720" rIns="91440" bIns="45720" anchor="ctr" anchorCtr="0" upright="1">
                          <a:noAutofit/>
                        </wps:bodyPr>
                      </wps:wsp>
                      <wps:wsp>
                        <wps:cNvPr id="20" name="Прямоугольник 5"/>
                        <wps:cNvSpPr>
                          <a:spLocks noChangeArrowheads="1"/>
                        </wps:cNvSpPr>
                        <wps:spPr bwMode="auto">
                          <a:xfrm>
                            <a:off x="1724000" y="1524000"/>
                            <a:ext cx="3656600" cy="4857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F04893F" w14:textId="77777777" w:rsidR="00012FCB" w:rsidRDefault="00012FCB" w:rsidP="00012FCB">
                              <w:pPr>
                                <w:spacing w:after="0" w:line="240" w:lineRule="auto"/>
                                <w:jc w:val="center"/>
                              </w:pPr>
                              <w:r>
                                <w:rPr>
                                  <w:rFonts w:ascii="Times New Roman" w:hAnsi="Times New Roman" w:cs="Times New Roman"/>
                                  <w:sz w:val="24"/>
                                  <w:szCs w:val="24"/>
                                </w:rPr>
                                <w:t>в рамках управляемой подсистемы: промышленные предприятия и их денежные потоки</w:t>
                              </w:r>
                            </w:p>
                          </w:txbxContent>
                        </wps:txbx>
                        <wps:bodyPr rot="0" vert="horz" wrap="square" lIns="91440" tIns="45720" rIns="91440" bIns="45720" anchor="ctr" anchorCtr="0" upright="1">
                          <a:noAutofit/>
                        </wps:bodyPr>
                      </wps:wsp>
                      <wps:wsp>
                        <wps:cNvPr id="21" name="Прямоугольник 6"/>
                        <wps:cNvSpPr>
                          <a:spLocks noChangeArrowheads="1"/>
                        </wps:cNvSpPr>
                        <wps:spPr bwMode="auto">
                          <a:xfrm>
                            <a:off x="1714500" y="104700"/>
                            <a:ext cx="3694700" cy="7049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C1218B7" w14:textId="77777777" w:rsidR="00012FCB" w:rsidRDefault="00012FCB" w:rsidP="008C31EE">
                              <w:pPr>
                                <w:spacing w:after="0" w:line="240" w:lineRule="auto"/>
                                <w:jc w:val="center"/>
                              </w:pPr>
                              <w:r>
                                <w:rPr>
                                  <w:rFonts w:ascii="Times New Roman" w:hAnsi="Times New Roman" w:cs="Times New Roman"/>
                                  <w:sz w:val="24"/>
                                  <w:szCs w:val="24"/>
                                </w:rPr>
                                <w:t>в рамках управляющей подсистемы: органы государственного и муниципального управления разных уровней и денежные потоки их бюджетов</w:t>
                              </w:r>
                            </w:p>
                          </w:txbxContent>
                        </wps:txbx>
                        <wps:bodyPr rot="0" vert="horz" wrap="square" lIns="91440" tIns="45720" rIns="91440" bIns="45720" anchor="ctr" anchorCtr="0" upright="1">
                          <a:noAutofit/>
                        </wps:bodyPr>
                      </wps:wsp>
                      <wps:wsp>
                        <wps:cNvPr id="22" name="Прямоугольник 7"/>
                        <wps:cNvSpPr>
                          <a:spLocks noChangeArrowheads="1"/>
                        </wps:cNvSpPr>
                        <wps:spPr bwMode="auto">
                          <a:xfrm>
                            <a:off x="76200" y="2131900"/>
                            <a:ext cx="1428700" cy="13352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D4B14B9" w14:textId="77777777" w:rsidR="00012FCB" w:rsidRDefault="00012FCB" w:rsidP="008C31EE">
                              <w:pPr>
                                <w:spacing w:after="0" w:line="240" w:lineRule="auto"/>
                                <w:jc w:val="center"/>
                              </w:pPr>
                              <w:r>
                                <w:rPr>
                                  <w:rFonts w:ascii="Times New Roman" w:hAnsi="Times New Roman"/>
                                  <w:sz w:val="24"/>
                                  <w:szCs w:val="24"/>
                                </w:rPr>
                                <w:t>объекты управления структурными изменениями в промышленности</w:t>
                              </w:r>
                            </w:p>
                          </w:txbxContent>
                        </wps:txbx>
                        <wps:bodyPr rot="0" vert="horz" wrap="square" lIns="91440" tIns="45720" rIns="91440" bIns="45720" anchor="ctr" anchorCtr="0" upright="1">
                          <a:noAutofit/>
                        </wps:bodyPr>
                      </wps:wsp>
                      <wps:wsp>
                        <wps:cNvPr id="23" name="Прямоугольник 8"/>
                        <wps:cNvSpPr>
                          <a:spLocks noChangeArrowheads="1"/>
                        </wps:cNvSpPr>
                        <wps:spPr bwMode="auto">
                          <a:xfrm>
                            <a:off x="38100" y="5305400"/>
                            <a:ext cx="1495400" cy="18097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466DAF2" w14:textId="77777777" w:rsidR="00012FCB" w:rsidRDefault="00012FCB" w:rsidP="008C31EE">
                              <w:pPr>
                                <w:spacing w:after="0" w:line="240" w:lineRule="auto"/>
                                <w:jc w:val="center"/>
                              </w:pPr>
                              <w:r>
                                <w:rPr>
                                  <w:rFonts w:ascii="Times New Roman" w:hAnsi="Times New Roman"/>
                                  <w:sz w:val="24"/>
                                  <w:szCs w:val="24"/>
                                </w:rPr>
                                <w:t>инструменты и механизмы управления структурными изменениями в промышленности в рамках государственной программы</w:t>
                              </w:r>
                            </w:p>
                          </w:txbxContent>
                        </wps:txbx>
                        <wps:bodyPr rot="0" vert="horz" wrap="square" lIns="91440" tIns="45720" rIns="91440" bIns="45720" anchor="ctr" anchorCtr="0" upright="1">
                          <a:noAutofit/>
                        </wps:bodyPr>
                      </wps:wsp>
                      <wps:wsp>
                        <wps:cNvPr id="24" name="Прямоугольник 9"/>
                        <wps:cNvSpPr>
                          <a:spLocks noChangeArrowheads="1"/>
                        </wps:cNvSpPr>
                        <wps:spPr bwMode="auto">
                          <a:xfrm>
                            <a:off x="1733500" y="5323500"/>
                            <a:ext cx="3637600" cy="17440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8EA324F"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а) субсидирование;</w:t>
                              </w:r>
                            </w:p>
                            <w:p w14:paraId="6B98C39C"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б) льготное кредитование (субсидирование части процентной ставки);</w:t>
                              </w:r>
                            </w:p>
                            <w:p w14:paraId="5E951960"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в) налоговые льготы;</w:t>
                              </w:r>
                            </w:p>
                            <w:p w14:paraId="18FB72AF"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г) государственные гарантии при получении банковского кредита;</w:t>
                              </w:r>
                            </w:p>
                            <w:p w14:paraId="016B7241"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д) административные льготы (для МСП и т.д.);</w:t>
                              </w:r>
                            </w:p>
                            <w:p w14:paraId="120AD074" w14:textId="77777777" w:rsidR="00012FCB" w:rsidRDefault="00012FCB" w:rsidP="00012FCB">
                              <w:pPr>
                                <w:spacing w:after="0" w:line="240" w:lineRule="auto"/>
                                <w:jc w:val="both"/>
                              </w:pPr>
                              <w:r>
                                <w:rPr>
                                  <w:rFonts w:ascii="Times New Roman" w:hAnsi="Times New Roman"/>
                                  <w:sz w:val="24"/>
                                  <w:szCs w:val="24"/>
                                </w:rPr>
                                <w:t>е) организационные и консультационные услуги и другие инструменты</w:t>
                              </w:r>
                            </w:p>
                          </w:txbxContent>
                        </wps:txbx>
                        <wps:bodyPr rot="0" vert="horz" wrap="square" lIns="91440" tIns="45720" rIns="91440" bIns="45720" anchor="ctr" anchorCtr="0" upright="1">
                          <a:noAutofit/>
                        </wps:bodyPr>
                      </wps:wsp>
                      <wps:wsp>
                        <wps:cNvPr id="25" name="Прямая соединительная линия 11"/>
                        <wps:cNvCnPr>
                          <a:cxnSpLocks noChangeShapeType="1"/>
                        </wps:cNvCnPr>
                        <wps:spPr bwMode="auto">
                          <a:xfrm>
                            <a:off x="1504900" y="481800"/>
                            <a:ext cx="9500" cy="126120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6" name="Прямая соединительная линия 12"/>
                        <wps:cNvCnPr>
                          <a:cxnSpLocks noChangeShapeType="1"/>
                        </wps:cNvCnPr>
                        <wps:spPr bwMode="auto">
                          <a:xfrm>
                            <a:off x="1514400" y="1752600"/>
                            <a:ext cx="20010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7" name="Прямая соединительная линия 13"/>
                        <wps:cNvCnPr>
                          <a:cxnSpLocks noChangeShapeType="1"/>
                        </wps:cNvCnPr>
                        <wps:spPr bwMode="auto">
                          <a:xfrm>
                            <a:off x="1514400" y="2800300"/>
                            <a:ext cx="20010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8" name="Прямая соединительная линия 15"/>
                        <wps:cNvCnPr>
                          <a:cxnSpLocks noChangeShapeType="1"/>
                        </wps:cNvCnPr>
                        <wps:spPr bwMode="auto">
                          <a:xfrm>
                            <a:off x="1543000" y="6305500"/>
                            <a:ext cx="18100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Прямая соединительная линия 16"/>
                        <wps:cNvCnPr>
                          <a:cxnSpLocks noChangeShapeType="1"/>
                        </wps:cNvCnPr>
                        <wps:spPr bwMode="auto">
                          <a:xfrm>
                            <a:off x="1295400" y="779800"/>
                            <a:ext cx="21900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Прямая соединительная линия 17"/>
                        <wps:cNvCnPr>
                          <a:cxnSpLocks noChangeShapeType="1"/>
                        </wps:cNvCnPr>
                        <wps:spPr bwMode="auto">
                          <a:xfrm>
                            <a:off x="1504900" y="481800"/>
                            <a:ext cx="20000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AB4491" id="Полотно 31" o:spid="_x0000_s1026" editas="canvas" style="width:6in;height:564pt;mso-position-horizontal-relative:char;mso-position-vertical-relative:line" coordsize="54864,7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71628;visibility:visible;mso-wrap-style:square" filled="t">
                  <v:fill o:detectmouseclick="t"/>
                  <v:path o:connecttype="none"/>
                </v:shape>
                <v:rect id="Прямоугольник 2" o:spid="_x0000_s1028" style="position:absolute;left:571;top:4818;width:12192;height:86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" fillcolor="white [3201]" strokecolor="black [3200]" strokeweight="1pt">
                  <v:textbox>
                    <w:txbxContent>
                      <w:p w14:paraId="303DC2A9" w14:textId="77777777" w:rsidR="00012FCB" w:rsidRDefault="00012FCB" w:rsidP="008C31EE">
                        <w:pPr>
                          <w:spacing w:after="0" w:line="240" w:lineRule="auto"/>
                          <w:jc w:val="center"/>
                        </w:pPr>
                        <w:r>
                          <w:rPr>
                            <w:rFonts w:ascii="Times New Roman" w:hAnsi="Times New Roman"/>
                            <w:sz w:val="24"/>
                            <w:szCs w:val="24"/>
                          </w:rPr>
                          <w:t>управляющая и управляемая подсистемы</w:t>
                        </w:r>
                      </w:p>
                    </w:txbxContent>
                  </v:textbox>
                </v:rect>
                <v:rect id="Прямоугольник 3" o:spid="_x0000_s1029" style="position:absolute;left:17145;top:21224;width:36566;height:3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" fillcolor="white [3201]" strokecolor="black [3200]" strokeweight="1pt">
                  <v:textbox>
                    <w:txbxContent>
                      <w:p w14:paraId="4C61A18A"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а) отраслевая (и товарная) структура промышленного производства;</w:t>
                        </w:r>
                      </w:p>
                      <w:p w14:paraId="587F044C"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б) технологическая структура промышленного производства;</w:t>
                        </w:r>
                      </w:p>
                      <w:p w14:paraId="1BD4B74C"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товарная структура промышленного экспорта;</w:t>
                        </w:r>
                      </w:p>
                      <w:p w14:paraId="4A88905D"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 структура внутреннего потребления товаров и услуг промышленных предприятий (импортные товары и услуги; отечественные (импортозамещающие) товары и услуги);</w:t>
                        </w:r>
                      </w:p>
                      <w:p w14:paraId="74170AA3"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 структура рабочих мест в промышленности;</w:t>
                        </w:r>
                      </w:p>
                      <w:p w14:paraId="32FFFAAA"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 институциональная (нормативная) (в том числе, стандарты) и методическая структура управления структурными изменениями в промышленности;</w:t>
                        </w:r>
                      </w:p>
                      <w:p w14:paraId="21401185" w14:textId="77777777" w:rsidR="00012FCB" w:rsidRDefault="00012FCB" w:rsidP="00012F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ж) производительность труда, эффективность функционирования (прибыль, рентабельность), конкурентоспособность промышленного комплекса и т.д.</w:t>
                        </w:r>
                      </w:p>
                      <w:p w14:paraId="31ECD2EA" w14:textId="77777777" w:rsidR="00012FCB" w:rsidRDefault="00012FCB" w:rsidP="00012FCB">
                        <w:pPr>
                          <w:jc w:val="center"/>
                        </w:pPr>
                      </w:p>
                    </w:txbxContent>
                  </v:textbox>
                </v:rect>
                <v:rect id="Прямоугольник 4" o:spid="_x0000_s1030" style="position:absolute;left:17145;top:8275;width:36947;height:6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" fillcolor="white [3201]" strokecolor="black [3200]" strokeweight="1pt">
                  <v:textbox>
                    <w:txbxContent>
                      <w:p w14:paraId="65642C4E" w14:textId="77777777" w:rsidR="00012FCB" w:rsidRDefault="00012FCB" w:rsidP="008C3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инфраструктура госпрограммы: институты развития и институты рынка (коммерческие банки, лизинговые компании и т.д.)</w:t>
                        </w:r>
                      </w:p>
                    </w:txbxContent>
                  </v:textbox>
                </v:rect>
                <v:rect id="Прямоугольник 5" o:spid="_x0000_s1031" style="position:absolute;left:17240;top:15240;width:36566;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" fillcolor="white [3201]" strokecolor="black [3200]" strokeweight="1pt">
                  <v:textbox>
                    <w:txbxContent>
                      <w:p w14:paraId="4F04893F" w14:textId="77777777" w:rsidR="00012FCB" w:rsidRDefault="00012FCB" w:rsidP="00012FCB">
                        <w:pPr>
                          <w:spacing w:after="0" w:line="240" w:lineRule="auto"/>
                          <w:jc w:val="center"/>
                        </w:pPr>
                        <w:r>
                          <w:rPr>
                            <w:rFonts w:ascii="Times New Roman" w:hAnsi="Times New Roman" w:cs="Times New Roman"/>
                            <w:sz w:val="24"/>
                            <w:szCs w:val="24"/>
                          </w:rPr>
                          <w:t>в рамках управляемой подсистемы: промышленные предприятия и их денежные потоки</w:t>
                        </w:r>
                      </w:p>
                    </w:txbxContent>
                  </v:textbox>
                </v:rect>
                <v:rect id="Прямоугольник 6" o:spid="_x0000_s1032" style="position:absolute;left:17145;top:1047;width:36947;height:7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" fillcolor="white [3201]" strokecolor="black [3200]" strokeweight="1pt">
                  <v:textbox>
                    <w:txbxContent>
                      <w:p w14:paraId="7C1218B7" w14:textId="77777777" w:rsidR="00012FCB" w:rsidRDefault="00012FCB" w:rsidP="008C31EE">
                        <w:pPr>
                          <w:spacing w:after="0" w:line="240" w:lineRule="auto"/>
                          <w:jc w:val="center"/>
                        </w:pPr>
                        <w:r>
                          <w:rPr>
                            <w:rFonts w:ascii="Times New Roman" w:hAnsi="Times New Roman" w:cs="Times New Roman"/>
                            <w:sz w:val="24"/>
                            <w:szCs w:val="24"/>
                          </w:rPr>
                          <w:t>в рамках управляющей подсистемы: органы государственного и муниципального управления разных уровней и денежные потоки их бюджетов</w:t>
                        </w:r>
                      </w:p>
                    </w:txbxContent>
                  </v:textbox>
                </v:rect>
                <v:rect id="Прямоугольник 7" o:spid="_x0000_s1033" style="position:absolute;left:762;top:21319;width:14287;height:1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" fillcolor="white [3201]" strokecolor="black [3200]" strokeweight="1pt">
                  <v:textbox>
                    <w:txbxContent>
                      <w:p w14:paraId="5D4B14B9" w14:textId="77777777" w:rsidR="00012FCB" w:rsidRDefault="00012FCB" w:rsidP="008C31EE">
                        <w:pPr>
                          <w:spacing w:after="0" w:line="240" w:lineRule="auto"/>
                          <w:jc w:val="center"/>
                        </w:pPr>
                        <w:r>
                          <w:rPr>
                            <w:rFonts w:ascii="Times New Roman" w:hAnsi="Times New Roman"/>
                            <w:sz w:val="24"/>
                            <w:szCs w:val="24"/>
                          </w:rPr>
                          <w:t>объекты управления структурными изменениями в промышленности</w:t>
                        </w:r>
                      </w:p>
                    </w:txbxContent>
                  </v:textbox>
                </v:rect>
                <v:rect id="Прямоугольник 8" o:spid="_x0000_s1034" style="position:absolute;left:381;top:53054;width:14954;height:18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cWxAAAANsAAAAPAAAAZHJzL2Rvd25yZXYueG1sRI9Pa8JA&#10;FMTvhX6H5RV6q5tasB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EEMZxbEAAAA2wAAAA8A&#10;AAAAAAAAAAAAAAAABwIAAGRycy9kb3ducmV2LnhtbFBLBQYAAAAAAwADALcAAAD4AgAAAAA=&#10;" fillcolor="white [3201]" strokecolor="black [3200]" strokeweight="1pt">
                  <v:textbox>
                    <w:txbxContent>
                      <w:p w14:paraId="2466DAF2" w14:textId="77777777" w:rsidR="00012FCB" w:rsidRDefault="00012FCB" w:rsidP="008C31EE">
                        <w:pPr>
                          <w:spacing w:after="0" w:line="240" w:lineRule="auto"/>
                          <w:jc w:val="center"/>
                        </w:pPr>
                        <w:r>
                          <w:rPr>
                            <w:rFonts w:ascii="Times New Roman" w:hAnsi="Times New Roman"/>
                            <w:sz w:val="24"/>
                            <w:szCs w:val="24"/>
                          </w:rPr>
                          <w:t>инструменты и механизмы управления структурными изменениями в промышленности в рамках государственной программы</w:t>
                        </w:r>
                      </w:p>
                    </w:txbxContent>
                  </v:textbox>
                </v:rect>
                <v:rect id="Прямоугольник 9" o:spid="_x0000_s1035" style="position:absolute;left:17335;top:53235;width:36376;height:17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f9ixAAAANsAAAAPAAAAZHJzL2Rvd25yZXYueG1sRI9Pa8JA&#10;FMTvhX6H5RV6q5tKsR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M7l/2LEAAAA2wAAAA8A&#10;AAAAAAAAAAAAAAAABwIAAGRycy9kb3ducmV2LnhtbFBLBQYAAAAAAwADALcAAAD4AgAAAAA=&#10;" fillcolor="white [3201]" strokecolor="black [3200]" strokeweight="1pt">
                  <v:textbox>
                    <w:txbxContent>
                      <w:p w14:paraId="18EA324F"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а) субсидирование;</w:t>
                        </w:r>
                      </w:p>
                      <w:p w14:paraId="6B98C39C"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б) льготное кредитование (субсидирование части процентной ставки);</w:t>
                        </w:r>
                      </w:p>
                      <w:p w14:paraId="5E951960"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в) налоговые льготы;</w:t>
                        </w:r>
                      </w:p>
                      <w:p w14:paraId="18FB72AF"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г) государственные гарантии при получении банковского кредита;</w:t>
                        </w:r>
                      </w:p>
                      <w:p w14:paraId="016B7241" w14:textId="77777777" w:rsidR="00012FCB" w:rsidRDefault="00012FCB" w:rsidP="00012FCB">
                        <w:pPr>
                          <w:spacing w:after="0" w:line="240" w:lineRule="auto"/>
                          <w:jc w:val="both"/>
                          <w:rPr>
                            <w:rFonts w:ascii="Times New Roman" w:hAnsi="Times New Roman"/>
                            <w:sz w:val="24"/>
                            <w:szCs w:val="24"/>
                          </w:rPr>
                        </w:pPr>
                        <w:r>
                          <w:rPr>
                            <w:rFonts w:ascii="Times New Roman" w:hAnsi="Times New Roman"/>
                            <w:sz w:val="24"/>
                            <w:szCs w:val="24"/>
                          </w:rPr>
                          <w:t>д) административные льготы (для МСП и т.д.);</w:t>
                        </w:r>
                      </w:p>
                      <w:p w14:paraId="120AD074" w14:textId="77777777" w:rsidR="00012FCB" w:rsidRDefault="00012FCB" w:rsidP="00012FCB">
                        <w:pPr>
                          <w:spacing w:after="0" w:line="240" w:lineRule="auto"/>
                          <w:jc w:val="both"/>
                        </w:pPr>
                        <w:r>
                          <w:rPr>
                            <w:rFonts w:ascii="Times New Roman" w:hAnsi="Times New Roman"/>
                            <w:sz w:val="24"/>
                            <w:szCs w:val="24"/>
                          </w:rPr>
                          <w:t>е) организационные и консультационные услуги и другие инструменты</w:t>
                        </w:r>
                      </w:p>
                    </w:txbxContent>
                  </v:textbox>
                </v:rect>
                <v:line id="Прямая соединительная линия 11" o:spid="_x0000_s1036" style="position:absolute;visibility:visible;mso-wrap-style:square" from="15049,4818" to="15144,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" strokecolor="black [3200]" strokeweight=".5pt">
                  <v:stroke joinstyle="miter"/>
                </v:line>
                <v:line id="Прямая соединительная линия 12" o:spid="_x0000_s1037" style="position:absolute;visibility:visible;mso-wrap-style:square" from="15144,17526" to="1714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" strokecolor="black [3200]" strokeweight=".5pt">
                  <v:stroke joinstyle="miter"/>
                </v:line>
                <v:line id="Прямая соединительная линия 13" o:spid="_x0000_s1038" style="position:absolute;visibility:visible;mso-wrap-style:square" from="15144,28003" to="17145,2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line id="Прямая соединительная линия 15" o:spid="_x0000_s1039" style="position:absolute;visibility:visible;mso-wrap-style:square" from="15430,63055" to="17240,63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" strokecolor="black [3200]" strokeweight=".5pt">
                  <v:stroke joinstyle="miter"/>
                </v:line>
                <v:line id="Прямая соединительная линия 16" o:spid="_x0000_s1040" style="position:absolute;visibility:visible;mso-wrap-style:square" from="12954,7798" to="15144,7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line id="Прямая соединительная линия 17" o:spid="_x0000_s1041" style="position:absolute;visibility:visible;mso-wrap-style:square" from="15049,4818" to="17049,4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" strokecolor="black [3200]" strokeweight=".5pt">
                  <v:stroke joinstyle="miter"/>
                </v:line>
                <w10:anchorlock/>
              </v:group>
            </w:pict>
          </mc:Fallback>
        </mc:AlternateContent>
      </w:r>
    </w:p>
    <w:p w14:paraId="1A436501" w14:textId="77777777" w:rsidR="008C31EE" w:rsidRPr="00DF3301" w:rsidRDefault="008C31EE" w:rsidP="008C31EE">
      <w:pPr>
        <w:spacing w:after="0" w:line="240" w:lineRule="auto"/>
        <w:jc w:val="center"/>
        <w:rPr>
          <w:rFonts w:ascii="Times New Roman" w:hAnsi="Times New Roman" w:cs="Times New Roman"/>
          <w:b/>
          <w:bCs/>
          <w:sz w:val="24"/>
          <w:szCs w:val="24"/>
        </w:rPr>
      </w:pPr>
      <w:r w:rsidRPr="00DF3301">
        <w:rPr>
          <w:rFonts w:ascii="Times New Roman" w:hAnsi="Times New Roman" w:cs="Times New Roman"/>
          <w:b/>
          <w:bCs/>
          <w:sz w:val="24"/>
          <w:szCs w:val="24"/>
        </w:rPr>
        <w:t xml:space="preserve">Рис. 1. </w:t>
      </w:r>
      <w:r w:rsidRPr="000D7679">
        <w:rPr>
          <w:rFonts w:ascii="Times New Roman" w:hAnsi="Times New Roman" w:cs="Times New Roman"/>
          <w:bCs/>
          <w:sz w:val="24"/>
          <w:szCs w:val="24"/>
        </w:rPr>
        <w:t>Важные подсистемы государственной программы развития промышленности для оценки структурных изменений и принятия управленческих решений в процессе реализации структурной промышленной политики и их денежные потоки</w:t>
      </w:r>
    </w:p>
    <w:p w14:paraId="5096F548" w14:textId="41B4B998" w:rsidR="00012FCB" w:rsidRPr="000D7679" w:rsidRDefault="00DF3301" w:rsidP="00DF3301">
      <w:pPr>
        <w:spacing w:after="0" w:line="240" w:lineRule="auto"/>
        <w:jc w:val="center"/>
        <w:rPr>
          <w:rFonts w:ascii="Times New Roman" w:hAnsi="Times New Roman" w:cs="Times New Roman"/>
          <w:i/>
          <w:sz w:val="24"/>
          <w:szCs w:val="24"/>
        </w:rPr>
      </w:pPr>
      <w:r w:rsidRPr="000D7679">
        <w:rPr>
          <w:rFonts w:ascii="Times New Roman" w:hAnsi="Times New Roman" w:cs="Times New Roman"/>
          <w:i/>
          <w:sz w:val="24"/>
          <w:szCs w:val="24"/>
        </w:rPr>
        <w:t>С</w:t>
      </w:r>
      <w:r w:rsidR="008C31EE" w:rsidRPr="000D7679">
        <w:rPr>
          <w:rFonts w:ascii="Times New Roman" w:hAnsi="Times New Roman" w:cs="Times New Roman"/>
          <w:i/>
          <w:sz w:val="24"/>
          <w:szCs w:val="24"/>
        </w:rPr>
        <w:t>ост</w:t>
      </w:r>
      <w:r w:rsidRPr="000D7679">
        <w:rPr>
          <w:rFonts w:ascii="Times New Roman" w:hAnsi="Times New Roman" w:cs="Times New Roman"/>
          <w:i/>
          <w:sz w:val="24"/>
          <w:szCs w:val="24"/>
        </w:rPr>
        <w:t>авлено</w:t>
      </w:r>
      <w:r w:rsidR="008C31EE" w:rsidRPr="000D7679">
        <w:rPr>
          <w:rFonts w:ascii="Times New Roman" w:hAnsi="Times New Roman" w:cs="Times New Roman"/>
          <w:i/>
          <w:sz w:val="24"/>
          <w:szCs w:val="24"/>
        </w:rPr>
        <w:t xml:space="preserve"> автором на основе [10].</w:t>
      </w:r>
    </w:p>
    <w:p w14:paraId="08626282" w14:textId="77777777" w:rsidR="00012FCB" w:rsidRPr="008C31EE" w:rsidRDefault="00012FCB" w:rsidP="008C31EE">
      <w:pPr>
        <w:spacing w:after="0" w:line="240" w:lineRule="auto"/>
        <w:jc w:val="both"/>
        <w:rPr>
          <w:rFonts w:ascii="Times New Roman" w:hAnsi="Times New Roman" w:cs="Times New Roman"/>
          <w:sz w:val="24"/>
          <w:szCs w:val="24"/>
        </w:rPr>
      </w:pPr>
    </w:p>
    <w:p w14:paraId="1ABF0B39" w14:textId="458E62F0" w:rsidR="000106A3" w:rsidRPr="00CF6E98" w:rsidRDefault="000106A3" w:rsidP="00CF6E98">
      <w:pPr>
        <w:spacing w:after="0" w:line="240" w:lineRule="auto"/>
        <w:ind w:firstLine="709"/>
        <w:jc w:val="both"/>
        <w:rPr>
          <w:rFonts w:ascii="Times New Roman" w:hAnsi="Times New Roman" w:cs="Times New Roman"/>
          <w:sz w:val="28"/>
          <w:szCs w:val="28"/>
        </w:rPr>
      </w:pPr>
      <w:r w:rsidRPr="00CF6E98">
        <w:rPr>
          <w:rFonts w:ascii="Times New Roman" w:hAnsi="Times New Roman" w:cs="Times New Roman"/>
          <w:sz w:val="28"/>
          <w:szCs w:val="28"/>
        </w:rPr>
        <w:t>В соответствии с Методическими рекомендациями [</w:t>
      </w:r>
      <w:r w:rsidR="00597053" w:rsidRPr="00CF6E98">
        <w:rPr>
          <w:rFonts w:ascii="Times New Roman" w:hAnsi="Times New Roman" w:cs="Times New Roman"/>
          <w:sz w:val="28"/>
          <w:szCs w:val="28"/>
        </w:rPr>
        <w:t>9</w:t>
      </w:r>
      <w:r w:rsidRPr="00CF6E98">
        <w:rPr>
          <w:rFonts w:ascii="Times New Roman" w:hAnsi="Times New Roman" w:cs="Times New Roman"/>
          <w:sz w:val="28"/>
          <w:szCs w:val="28"/>
        </w:rPr>
        <w:t xml:space="preserve">], при расчете показателей общественной эффективности исключаются из притоков и </w:t>
      </w:r>
      <w:r w:rsidRPr="00CF6E98">
        <w:rPr>
          <w:rFonts w:ascii="Times New Roman" w:hAnsi="Times New Roman" w:cs="Times New Roman"/>
          <w:sz w:val="28"/>
          <w:szCs w:val="28"/>
        </w:rPr>
        <w:lastRenderedPageBreak/>
        <w:t>оттоков по операционной и финансовой деятельности их составляющие, связанные с получением кредитов, выплатой процентов по ним и их погашением, предоставленными субсидиями, дотациями, налоговыми и другими трансфертными платежами, при которых финансовые ресурсы передаются от одного участника проекта (включая государство) другому (</w:t>
      </w:r>
      <w:r w:rsidR="00CF6E98" w:rsidRPr="00CF6E98">
        <w:rPr>
          <w:rFonts w:ascii="Times New Roman" w:hAnsi="Times New Roman" w:cs="Times New Roman"/>
          <w:sz w:val="28"/>
          <w:szCs w:val="28"/>
        </w:rPr>
        <w:t xml:space="preserve">за исключением платежей за </w:t>
      </w:r>
      <w:r w:rsidRPr="00CF6E98">
        <w:rPr>
          <w:rFonts w:ascii="Times New Roman" w:hAnsi="Times New Roman" w:cs="Times New Roman"/>
          <w:sz w:val="28"/>
          <w:szCs w:val="28"/>
        </w:rPr>
        <w:t>пределы системы инвестиционного проекта</w:t>
      </w:r>
      <w:r w:rsidR="0090515C">
        <w:rPr>
          <w:rFonts w:ascii="Times New Roman" w:hAnsi="Times New Roman" w:cs="Times New Roman"/>
          <w:sz w:val="28"/>
          <w:szCs w:val="28"/>
        </w:rPr>
        <w:t xml:space="preserve"> (в нашем случае, госпрограммы)</w:t>
      </w:r>
      <w:r w:rsidR="00CF6E98" w:rsidRPr="00CF6E98">
        <w:rPr>
          <w:rFonts w:ascii="Times New Roman" w:hAnsi="Times New Roman" w:cs="Times New Roman"/>
          <w:sz w:val="28"/>
          <w:szCs w:val="28"/>
        </w:rPr>
        <w:t>.</w:t>
      </w:r>
      <w:r w:rsidRPr="00CF6E98">
        <w:rPr>
          <w:rFonts w:ascii="Times New Roman" w:hAnsi="Times New Roman" w:cs="Times New Roman"/>
          <w:sz w:val="28"/>
          <w:szCs w:val="28"/>
        </w:rPr>
        <w:t xml:space="preserve"> </w:t>
      </w:r>
    </w:p>
    <w:p w14:paraId="5DCAD550" w14:textId="74A85778" w:rsidR="000106A3" w:rsidRPr="005379BB" w:rsidRDefault="00CF6E98" w:rsidP="00CF6E98">
      <w:pPr>
        <w:spacing w:after="0" w:line="240" w:lineRule="auto"/>
        <w:ind w:firstLine="709"/>
        <w:jc w:val="both"/>
        <w:rPr>
          <w:rFonts w:ascii="Times New Roman" w:hAnsi="Times New Roman" w:cs="Times New Roman"/>
          <w:sz w:val="28"/>
          <w:szCs w:val="28"/>
        </w:rPr>
      </w:pPr>
      <w:r w:rsidRPr="00CF6E98">
        <w:rPr>
          <w:rFonts w:ascii="Times New Roman" w:hAnsi="Times New Roman" w:cs="Times New Roman"/>
          <w:sz w:val="28"/>
          <w:szCs w:val="28"/>
        </w:rPr>
        <w:t>Однако д</w:t>
      </w:r>
      <w:r w:rsidR="000106A3" w:rsidRPr="00CF6E98">
        <w:rPr>
          <w:rFonts w:ascii="Times New Roman" w:hAnsi="Times New Roman" w:cs="Times New Roman"/>
          <w:sz w:val="28"/>
          <w:szCs w:val="28"/>
        </w:rPr>
        <w:t>вижение денежных потоков между участниками государственной программы отражает перераспределение между ними выгод и издержек и, в конечном итоге, оказывает воздействие на структуру экономики и промышленности, как ее подсистемы</w:t>
      </w:r>
      <w:r w:rsidR="005379BB" w:rsidRPr="005379BB">
        <w:rPr>
          <w:rFonts w:ascii="Times New Roman" w:hAnsi="Times New Roman" w:cs="Times New Roman"/>
          <w:sz w:val="28"/>
          <w:szCs w:val="28"/>
        </w:rPr>
        <w:t xml:space="preserve"> </w:t>
      </w:r>
      <w:r w:rsidR="005379BB">
        <w:rPr>
          <w:rFonts w:ascii="Times New Roman" w:hAnsi="Times New Roman" w:cs="Times New Roman"/>
          <w:sz w:val="28"/>
          <w:szCs w:val="28"/>
        </w:rPr>
        <w:t>[10]</w:t>
      </w:r>
      <w:r w:rsidR="000106A3" w:rsidRPr="00CF6E98">
        <w:rPr>
          <w:rFonts w:ascii="Times New Roman" w:hAnsi="Times New Roman" w:cs="Times New Roman"/>
          <w:sz w:val="28"/>
          <w:szCs w:val="28"/>
        </w:rPr>
        <w:t xml:space="preserve">. Поэтому </w:t>
      </w:r>
      <w:r w:rsidR="0090515C">
        <w:rPr>
          <w:rFonts w:ascii="Times New Roman" w:hAnsi="Times New Roman" w:cs="Times New Roman"/>
          <w:sz w:val="28"/>
          <w:szCs w:val="28"/>
        </w:rPr>
        <w:t xml:space="preserve">для целей реализации структурной промышленной политики оценку общественной эффективности госпрограммы как проекта следует дополнять </w:t>
      </w:r>
      <w:r w:rsidR="000106A3" w:rsidRPr="00CF6E98">
        <w:rPr>
          <w:rFonts w:ascii="Times New Roman" w:hAnsi="Times New Roman" w:cs="Times New Roman"/>
          <w:sz w:val="28"/>
          <w:szCs w:val="28"/>
        </w:rPr>
        <w:t>оценк</w:t>
      </w:r>
      <w:r w:rsidR="0090515C">
        <w:rPr>
          <w:rFonts w:ascii="Times New Roman" w:hAnsi="Times New Roman" w:cs="Times New Roman"/>
          <w:sz w:val="28"/>
          <w:szCs w:val="28"/>
        </w:rPr>
        <w:t>ой</w:t>
      </w:r>
      <w:r w:rsidR="000106A3" w:rsidRPr="00CF6E98">
        <w:rPr>
          <w:rFonts w:ascii="Times New Roman" w:hAnsi="Times New Roman" w:cs="Times New Roman"/>
          <w:sz w:val="28"/>
          <w:szCs w:val="28"/>
        </w:rPr>
        <w:t xml:space="preserve"> </w:t>
      </w:r>
      <w:r w:rsidR="009F5DF8">
        <w:rPr>
          <w:rFonts w:ascii="Times New Roman" w:hAnsi="Times New Roman" w:cs="Times New Roman"/>
          <w:sz w:val="28"/>
          <w:szCs w:val="28"/>
        </w:rPr>
        <w:t xml:space="preserve">экономических </w:t>
      </w:r>
      <w:r w:rsidR="000106A3" w:rsidRPr="00CF6E98">
        <w:rPr>
          <w:rFonts w:ascii="Times New Roman" w:hAnsi="Times New Roman" w:cs="Times New Roman"/>
          <w:sz w:val="28"/>
          <w:szCs w:val="28"/>
        </w:rPr>
        <w:t>эффектов государственной программы как инструмента структурной промышленной политики</w:t>
      </w:r>
      <w:r w:rsidR="0090515C">
        <w:rPr>
          <w:rFonts w:ascii="Times New Roman" w:hAnsi="Times New Roman" w:cs="Times New Roman"/>
          <w:sz w:val="28"/>
          <w:szCs w:val="28"/>
        </w:rPr>
        <w:t>, в которой будут учитываться денежные потоки между участниками госпрограммы, т.е.</w:t>
      </w:r>
      <w:r w:rsidR="000106A3" w:rsidRPr="00CF6E98">
        <w:rPr>
          <w:rFonts w:ascii="Times New Roman" w:hAnsi="Times New Roman" w:cs="Times New Roman"/>
          <w:sz w:val="28"/>
          <w:szCs w:val="28"/>
        </w:rPr>
        <w:t xml:space="preserve"> трансфертные платежи, при которых финансовые ресурсы передаются от одного участника программы другому (суммы полученных кредитов, выплаченных процентов по ним и погашения основного долга, суммы предоставленных субсидий, дотаций, налоговых платежей)</w:t>
      </w:r>
      <w:r w:rsidR="005379BB" w:rsidRPr="005379BB">
        <w:rPr>
          <w:rFonts w:ascii="Times New Roman" w:hAnsi="Times New Roman" w:cs="Times New Roman"/>
          <w:sz w:val="28"/>
          <w:szCs w:val="28"/>
        </w:rPr>
        <w:t xml:space="preserve"> </w:t>
      </w:r>
      <w:r w:rsidR="005379BB">
        <w:rPr>
          <w:rFonts w:ascii="Times New Roman" w:hAnsi="Times New Roman" w:cs="Times New Roman"/>
          <w:sz w:val="28"/>
          <w:szCs w:val="28"/>
        </w:rPr>
        <w:t>[10]</w:t>
      </w:r>
      <w:r w:rsidR="000106A3" w:rsidRPr="00CF6E98">
        <w:rPr>
          <w:rFonts w:ascii="Times New Roman" w:hAnsi="Times New Roman" w:cs="Times New Roman"/>
          <w:sz w:val="28"/>
          <w:szCs w:val="28"/>
        </w:rPr>
        <w:t xml:space="preserve">. </w:t>
      </w:r>
    </w:p>
    <w:p w14:paraId="6C551E6E" w14:textId="3AFC4A4E" w:rsidR="00FA3AF7" w:rsidRPr="00597053" w:rsidRDefault="009F5DF8" w:rsidP="00942B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Отличием </w:t>
      </w:r>
      <w:r w:rsidRPr="00CF6E98">
        <w:rPr>
          <w:rFonts w:ascii="Times New Roman" w:hAnsi="Times New Roman" w:cs="Times New Roman"/>
          <w:sz w:val="28"/>
          <w:szCs w:val="28"/>
        </w:rPr>
        <w:t>оценк</w:t>
      </w:r>
      <w:r>
        <w:rPr>
          <w:rFonts w:ascii="Times New Roman" w:hAnsi="Times New Roman" w:cs="Times New Roman"/>
          <w:sz w:val="28"/>
          <w:szCs w:val="28"/>
        </w:rPr>
        <w:t>и</w:t>
      </w:r>
      <w:r w:rsidRPr="00CF6E98">
        <w:rPr>
          <w:rFonts w:ascii="Times New Roman" w:hAnsi="Times New Roman" w:cs="Times New Roman"/>
          <w:sz w:val="28"/>
          <w:szCs w:val="28"/>
        </w:rPr>
        <w:t xml:space="preserve"> </w:t>
      </w:r>
      <w:r>
        <w:rPr>
          <w:rFonts w:ascii="Times New Roman" w:hAnsi="Times New Roman" w:cs="Times New Roman"/>
          <w:sz w:val="28"/>
          <w:szCs w:val="28"/>
        </w:rPr>
        <w:t xml:space="preserve">экономических </w:t>
      </w:r>
      <w:r w:rsidRPr="00CF6E98">
        <w:rPr>
          <w:rFonts w:ascii="Times New Roman" w:hAnsi="Times New Roman" w:cs="Times New Roman"/>
          <w:sz w:val="28"/>
          <w:szCs w:val="28"/>
        </w:rPr>
        <w:t>эффектов государственной программы как инструмента структурной промышленной политики</w:t>
      </w:r>
      <w:r>
        <w:rPr>
          <w:rFonts w:ascii="Times New Roman" w:hAnsi="Times New Roman" w:cs="Times New Roman"/>
          <w:sz w:val="28"/>
          <w:szCs w:val="28"/>
        </w:rPr>
        <w:t xml:space="preserve"> от оценки коммерческой эффективности, эффективности участия в проекте (программе), бюджетной эффективности (программы) является </w:t>
      </w:r>
      <w:r w:rsidR="00E849FE">
        <w:rPr>
          <w:rFonts w:ascii="Times New Roman" w:hAnsi="Times New Roman" w:cs="Times New Roman"/>
          <w:sz w:val="28"/>
          <w:szCs w:val="28"/>
        </w:rPr>
        <w:t>межсубъектный характер анализа денежных потоков между участниками государственной программы, показывающий влияние процесса перераспределения через механизм программы на структуру промышленности, а также на структуру экономики.</w:t>
      </w:r>
    </w:p>
    <w:p w14:paraId="1CB01C7E" w14:textId="77777777" w:rsidR="00FA3AF7" w:rsidRDefault="00FA3AF7" w:rsidP="00942B4B">
      <w:pPr>
        <w:spacing w:after="0" w:line="240" w:lineRule="auto"/>
        <w:ind w:firstLine="709"/>
        <w:jc w:val="both"/>
        <w:rPr>
          <w:rFonts w:ascii="Times New Roman" w:hAnsi="Times New Roman" w:cs="Times New Roman"/>
          <w:sz w:val="28"/>
          <w:szCs w:val="28"/>
        </w:rPr>
      </w:pPr>
    </w:p>
    <w:p w14:paraId="5DD64ACC" w14:textId="77777777" w:rsidR="009A6B76" w:rsidRPr="003F423D" w:rsidRDefault="009A6B76" w:rsidP="009A6B76">
      <w:pPr>
        <w:spacing w:after="0" w:line="240" w:lineRule="auto"/>
        <w:jc w:val="center"/>
        <w:rPr>
          <w:rFonts w:ascii="Times New Roman" w:hAnsi="Times New Roman" w:cs="Times New Roman"/>
          <w:b/>
          <w:bCs/>
          <w:i/>
          <w:iCs/>
          <w:sz w:val="24"/>
          <w:szCs w:val="24"/>
        </w:rPr>
      </w:pPr>
      <w:r w:rsidRPr="0040187C">
        <w:rPr>
          <w:rFonts w:ascii="Times New Roman" w:hAnsi="Times New Roman" w:cs="Times New Roman"/>
          <w:b/>
          <w:bCs/>
          <w:i/>
          <w:iCs/>
          <w:sz w:val="24"/>
          <w:szCs w:val="24"/>
        </w:rPr>
        <w:t>Список</w:t>
      </w:r>
      <w:r w:rsidRPr="003F423D">
        <w:rPr>
          <w:rFonts w:ascii="Times New Roman" w:hAnsi="Times New Roman" w:cs="Times New Roman"/>
          <w:b/>
          <w:bCs/>
          <w:i/>
          <w:iCs/>
          <w:sz w:val="24"/>
          <w:szCs w:val="24"/>
        </w:rPr>
        <w:t xml:space="preserve"> </w:t>
      </w:r>
      <w:r w:rsidRPr="0040187C">
        <w:rPr>
          <w:rFonts w:ascii="Times New Roman" w:hAnsi="Times New Roman" w:cs="Times New Roman"/>
          <w:b/>
          <w:bCs/>
          <w:i/>
          <w:iCs/>
          <w:sz w:val="24"/>
          <w:szCs w:val="24"/>
        </w:rPr>
        <w:t>использованной</w:t>
      </w:r>
      <w:r w:rsidRPr="003F423D">
        <w:rPr>
          <w:rFonts w:ascii="Times New Roman" w:hAnsi="Times New Roman" w:cs="Times New Roman"/>
          <w:b/>
          <w:bCs/>
          <w:i/>
          <w:iCs/>
          <w:sz w:val="24"/>
          <w:szCs w:val="24"/>
        </w:rPr>
        <w:t xml:space="preserve"> </w:t>
      </w:r>
      <w:r w:rsidRPr="0040187C">
        <w:rPr>
          <w:rFonts w:ascii="Times New Roman" w:hAnsi="Times New Roman" w:cs="Times New Roman"/>
          <w:b/>
          <w:bCs/>
          <w:i/>
          <w:iCs/>
          <w:sz w:val="24"/>
          <w:szCs w:val="24"/>
        </w:rPr>
        <w:t>литературы</w:t>
      </w:r>
      <w:r w:rsidRPr="003F423D">
        <w:rPr>
          <w:rFonts w:ascii="Times New Roman" w:hAnsi="Times New Roman" w:cs="Times New Roman"/>
          <w:b/>
          <w:bCs/>
          <w:i/>
          <w:iCs/>
          <w:sz w:val="24"/>
          <w:szCs w:val="24"/>
        </w:rPr>
        <w:t>:</w:t>
      </w:r>
    </w:p>
    <w:p w14:paraId="7EE3245E" w14:textId="02D6F9DA" w:rsidR="009A6B76" w:rsidRPr="006E0665" w:rsidRDefault="006E0665" w:rsidP="006E0665">
      <w:pPr>
        <w:pStyle w:val="a4"/>
        <w:tabs>
          <w:tab w:val="left" w:pos="284"/>
          <w:tab w:val="left" w:pos="1134"/>
          <w:tab w:val="left" w:pos="1276"/>
        </w:tabs>
        <w:spacing w:after="0" w:line="240" w:lineRule="auto"/>
        <w:ind w:left="0" w:firstLine="709"/>
        <w:jc w:val="both"/>
        <w:rPr>
          <w:rFonts w:ascii="Times New Roman" w:hAnsi="Times New Roman"/>
          <w:iCs/>
          <w:sz w:val="24"/>
          <w:szCs w:val="24"/>
        </w:rPr>
      </w:pPr>
      <w:r>
        <w:rPr>
          <w:rFonts w:ascii="Times New Roman" w:hAnsi="Times New Roman"/>
          <w:iCs/>
          <w:sz w:val="24"/>
          <w:szCs w:val="24"/>
        </w:rPr>
        <w:t>1.</w:t>
      </w:r>
      <w:r w:rsidR="002C6E58">
        <w:rPr>
          <w:rFonts w:ascii="Times New Roman" w:hAnsi="Times New Roman"/>
          <w:iCs/>
          <w:sz w:val="24"/>
          <w:szCs w:val="24"/>
        </w:rPr>
        <w:t xml:space="preserve"> </w:t>
      </w:r>
      <w:r w:rsidR="009A6B76" w:rsidRPr="006E0665">
        <w:rPr>
          <w:rFonts w:ascii="Times New Roman" w:hAnsi="Times New Roman"/>
          <w:iCs/>
          <w:sz w:val="24"/>
          <w:szCs w:val="24"/>
        </w:rPr>
        <w:t>Бабкин А.В., Бухвальд Е.М. Инструменты устойчивого развития в системе стратегического планирования // Теория устойчивого развития экономики и промышленности. - Санкт-Петербург, 2016. Издательство: Санкт-Петербургский политехнический университет Петра Великого. – С. 718 – 744.</w:t>
      </w:r>
    </w:p>
    <w:p w14:paraId="225DC230" w14:textId="689FD4AE" w:rsidR="001526A6" w:rsidRPr="001526A6" w:rsidRDefault="006E0665" w:rsidP="001526A6">
      <w:pPr>
        <w:spacing w:after="0" w:line="240" w:lineRule="auto"/>
        <w:ind w:firstLine="709"/>
        <w:jc w:val="both"/>
        <w:rPr>
          <w:rFonts w:ascii="Times New Roman" w:hAnsi="Times New Roman" w:cs="Times New Roman"/>
          <w:sz w:val="24"/>
          <w:szCs w:val="24"/>
        </w:rPr>
      </w:pPr>
      <w:r>
        <w:rPr>
          <w:rFonts w:ascii="Times New Roman" w:hAnsi="Times New Roman"/>
          <w:iCs/>
          <w:sz w:val="24"/>
          <w:szCs w:val="24"/>
        </w:rPr>
        <w:t>2.</w:t>
      </w:r>
      <w:r w:rsidR="002C6E58">
        <w:rPr>
          <w:rFonts w:ascii="Times New Roman" w:hAnsi="Times New Roman"/>
          <w:iCs/>
          <w:sz w:val="24"/>
          <w:szCs w:val="24"/>
        </w:rPr>
        <w:t xml:space="preserve"> </w:t>
      </w:r>
      <w:r w:rsidR="001526A6" w:rsidRPr="00357273">
        <w:rPr>
          <w:rFonts w:ascii="Times New Roman" w:eastAsia="Times New Roman" w:hAnsi="Times New Roman" w:cs="Times New Roman"/>
          <w:sz w:val="24"/>
          <w:szCs w:val="24"/>
          <w:lang w:eastAsia="ru-RU"/>
        </w:rPr>
        <w:t>Беленов О.Н., Щепина И.Н., Щукин О.С., Анохин С.А.</w:t>
      </w:r>
      <w:r w:rsidR="001526A6" w:rsidRPr="001526A6">
        <w:rPr>
          <w:rFonts w:ascii="Times New Roman" w:eastAsia="Times New Roman" w:hAnsi="Times New Roman" w:cs="Times New Roman"/>
          <w:sz w:val="24"/>
          <w:szCs w:val="24"/>
          <w:lang w:eastAsia="ru-RU"/>
        </w:rPr>
        <w:t xml:space="preserve"> </w:t>
      </w:r>
      <w:hyperlink r:id="rId8" w:history="1">
        <w:r w:rsidR="001526A6" w:rsidRPr="00357273">
          <w:rPr>
            <w:rFonts w:ascii="Times New Roman" w:eastAsia="Times New Roman" w:hAnsi="Times New Roman" w:cs="Times New Roman"/>
            <w:sz w:val="24"/>
            <w:szCs w:val="24"/>
            <w:lang w:eastAsia="ru-RU"/>
          </w:rPr>
          <w:t>Факторы модернизации машиностроительных предприятий России</w:t>
        </w:r>
      </w:hyperlink>
      <w:r w:rsidR="001526A6" w:rsidRPr="001526A6">
        <w:rPr>
          <w:rFonts w:ascii="Times New Roman" w:eastAsia="Times New Roman" w:hAnsi="Times New Roman" w:cs="Times New Roman"/>
          <w:sz w:val="24"/>
          <w:szCs w:val="24"/>
          <w:lang w:eastAsia="ru-RU"/>
        </w:rPr>
        <w:t xml:space="preserve"> // Модернизация предприятия: факторы и стратегии / науч. ред. В.Н.</w:t>
      </w:r>
      <w:r w:rsidR="001526A6" w:rsidRPr="00423872">
        <w:rPr>
          <w:rFonts w:ascii="Times New Roman" w:eastAsia="Times New Roman" w:hAnsi="Times New Roman" w:cs="Times New Roman"/>
          <w:sz w:val="24"/>
          <w:szCs w:val="24"/>
          <w:lang w:eastAsia="ru-RU"/>
        </w:rPr>
        <w:t xml:space="preserve"> </w:t>
      </w:r>
      <w:r w:rsidR="001526A6" w:rsidRPr="001526A6">
        <w:rPr>
          <w:rFonts w:ascii="Times New Roman" w:eastAsia="Times New Roman" w:hAnsi="Times New Roman" w:cs="Times New Roman"/>
          <w:sz w:val="24"/>
          <w:szCs w:val="24"/>
          <w:lang w:eastAsia="ru-RU"/>
        </w:rPr>
        <w:t>Эйтингон, Воронеж: ВГУ, 2001. – С. 24 – 40.</w:t>
      </w:r>
    </w:p>
    <w:p w14:paraId="2A112EE9" w14:textId="207FD4DE" w:rsidR="009A6B76" w:rsidRPr="006E0665" w:rsidRDefault="00423872" w:rsidP="006E0665">
      <w:pPr>
        <w:pStyle w:val="a4"/>
        <w:tabs>
          <w:tab w:val="left" w:pos="284"/>
          <w:tab w:val="left" w:pos="1134"/>
          <w:tab w:val="left" w:pos="1276"/>
        </w:tabs>
        <w:spacing w:after="0" w:line="240" w:lineRule="auto"/>
        <w:ind w:left="0" w:firstLine="709"/>
        <w:jc w:val="both"/>
        <w:rPr>
          <w:rFonts w:ascii="Times New Roman" w:hAnsi="Times New Roman"/>
          <w:iCs/>
          <w:sz w:val="24"/>
          <w:szCs w:val="24"/>
        </w:rPr>
      </w:pPr>
      <w:r>
        <w:rPr>
          <w:rFonts w:ascii="Times New Roman" w:hAnsi="Times New Roman"/>
          <w:iCs/>
          <w:sz w:val="24"/>
          <w:szCs w:val="24"/>
        </w:rPr>
        <w:t xml:space="preserve">3. </w:t>
      </w:r>
      <w:r w:rsidR="009A6B76" w:rsidRPr="006E0665">
        <w:rPr>
          <w:rFonts w:ascii="Times New Roman" w:hAnsi="Times New Roman"/>
          <w:iCs/>
          <w:sz w:val="24"/>
          <w:szCs w:val="24"/>
        </w:rPr>
        <w:t>Бендиков М.А., Ганичев Н.А. Электронная импортозависимость и пути ее преодоления (на примере космической промышленности) // Экономический анализ: теория и практика. – №3 (402). – 2015. – С. 2 – 17.</w:t>
      </w:r>
    </w:p>
    <w:p w14:paraId="0DF78785" w14:textId="607E4661" w:rsidR="00386EC3" w:rsidRPr="00386EC3" w:rsidRDefault="00423872" w:rsidP="00386EC3">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iCs/>
          <w:sz w:val="24"/>
          <w:szCs w:val="24"/>
        </w:rPr>
        <w:t>4</w:t>
      </w:r>
      <w:r w:rsidR="006E0665">
        <w:rPr>
          <w:rFonts w:ascii="Times New Roman" w:hAnsi="Times New Roman" w:cs="Times New Roman"/>
          <w:iCs/>
          <w:sz w:val="24"/>
          <w:szCs w:val="24"/>
        </w:rPr>
        <w:t>.</w:t>
      </w:r>
      <w:r w:rsidR="002C6E58">
        <w:rPr>
          <w:rFonts w:ascii="Times New Roman" w:hAnsi="Times New Roman" w:cs="Times New Roman"/>
          <w:iCs/>
          <w:sz w:val="24"/>
          <w:szCs w:val="24"/>
        </w:rPr>
        <w:t xml:space="preserve"> </w:t>
      </w:r>
      <w:r w:rsidR="00386EC3" w:rsidRPr="00386EC3">
        <w:rPr>
          <w:rFonts w:ascii="Times New Roman" w:eastAsia="Times New Roman" w:hAnsi="Times New Roman" w:cs="Times New Roman"/>
          <w:sz w:val="24"/>
          <w:szCs w:val="24"/>
          <w:lang w:eastAsia="ru-RU"/>
        </w:rPr>
        <w:t xml:space="preserve">Дементьев В.Е. Индустрия 4.0 и парадокс Солоу // Пространственный потенциал развития России: невыученные уроки и задачи на будущее / Сборник научных трудов участников Международной научной конференции </w:t>
      </w:r>
      <w:r w:rsidR="00386EC3" w:rsidRPr="00386EC3">
        <w:rPr>
          <w:rFonts w:ascii="Times New Roman" w:eastAsia="Times New Roman" w:hAnsi="Times New Roman" w:cs="Times New Roman"/>
          <w:sz w:val="24"/>
          <w:szCs w:val="24"/>
          <w:lang w:val="en-US" w:eastAsia="ru-RU"/>
        </w:rPr>
        <w:t>XXVI</w:t>
      </w:r>
      <w:r w:rsidR="00386EC3" w:rsidRPr="00386EC3">
        <w:rPr>
          <w:rFonts w:ascii="Times New Roman" w:eastAsia="Times New Roman" w:hAnsi="Times New Roman" w:cs="Times New Roman"/>
          <w:sz w:val="24"/>
          <w:szCs w:val="24"/>
          <w:lang w:eastAsia="ru-RU"/>
        </w:rPr>
        <w:t xml:space="preserve"> Кондратьевские чтения / под ред. В.М. Бондаренко. – М.: Межрегиональная общественная организация </w:t>
      </w:r>
      <w:r w:rsidR="00386EC3" w:rsidRPr="00386EC3">
        <w:rPr>
          <w:rFonts w:ascii="Times New Roman" w:eastAsia="Times New Roman" w:hAnsi="Times New Roman" w:cs="Times New Roman"/>
          <w:sz w:val="24"/>
          <w:szCs w:val="24"/>
          <w:lang w:eastAsia="ru-RU"/>
        </w:rPr>
        <w:lastRenderedPageBreak/>
        <w:t>содействия изучению, пропаганде научного наследия Н.Д. Кондратьева, 2019. – С.124 – 132.</w:t>
      </w:r>
    </w:p>
    <w:p w14:paraId="7D7BF9C7" w14:textId="3B70BEF9" w:rsidR="006E0665" w:rsidRPr="006E0665" w:rsidRDefault="00423872" w:rsidP="006E0665">
      <w:pPr>
        <w:spacing w:after="0" w:line="240" w:lineRule="auto"/>
        <w:ind w:firstLine="709"/>
        <w:jc w:val="both"/>
        <w:rPr>
          <w:rFonts w:ascii="Times New Roman" w:hAnsi="Times New Roman"/>
          <w:iCs/>
          <w:sz w:val="24"/>
          <w:szCs w:val="24"/>
        </w:rPr>
      </w:pPr>
      <w:r>
        <w:rPr>
          <w:rFonts w:ascii="Times New Roman" w:hAnsi="Times New Roman"/>
          <w:iCs/>
          <w:sz w:val="24"/>
          <w:szCs w:val="24"/>
        </w:rPr>
        <w:t>5</w:t>
      </w:r>
      <w:r w:rsidR="006E0665">
        <w:rPr>
          <w:rFonts w:ascii="Times New Roman" w:hAnsi="Times New Roman"/>
          <w:iCs/>
          <w:sz w:val="24"/>
          <w:szCs w:val="24"/>
        </w:rPr>
        <w:t>.</w:t>
      </w:r>
      <w:r w:rsidR="002C6E58">
        <w:rPr>
          <w:rFonts w:ascii="Times New Roman" w:hAnsi="Times New Roman"/>
          <w:iCs/>
          <w:sz w:val="24"/>
          <w:szCs w:val="24"/>
        </w:rPr>
        <w:t xml:space="preserve"> </w:t>
      </w:r>
      <w:r w:rsidR="006E0665" w:rsidRPr="006E0665">
        <w:rPr>
          <w:rFonts w:ascii="Times New Roman" w:hAnsi="Times New Roman"/>
          <w:iCs/>
          <w:sz w:val="24"/>
          <w:szCs w:val="24"/>
        </w:rPr>
        <w:t>Качалов Р.М., Ставчиков А.И., Завьялова Е.А. Инновационная компонента стратегии предприятия и хозяйственный риск / Теория и практика институциональных преобразований в России: сб. ст. / Под ред. Б. А. Ерзнкяна. М.: ЦЭМИ РАН, 2004. – С. 90 – 96.</w:t>
      </w:r>
    </w:p>
    <w:p w14:paraId="11A3F262" w14:textId="79259B3E" w:rsidR="00423872" w:rsidRDefault="00423872" w:rsidP="00423872">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iCs/>
          <w:sz w:val="24"/>
          <w:szCs w:val="24"/>
        </w:rPr>
        <w:t>6</w:t>
      </w:r>
      <w:r w:rsidR="006E0665">
        <w:rPr>
          <w:rFonts w:ascii="Times New Roman" w:hAnsi="Times New Roman" w:cs="Times New Roman"/>
          <w:iCs/>
          <w:sz w:val="24"/>
          <w:szCs w:val="24"/>
        </w:rPr>
        <w:t>.</w:t>
      </w:r>
      <w:r w:rsidR="002C6E58">
        <w:rPr>
          <w:rFonts w:ascii="Times New Roman" w:hAnsi="Times New Roman" w:cs="Times New Roman"/>
          <w:iCs/>
          <w:sz w:val="24"/>
          <w:szCs w:val="24"/>
        </w:rPr>
        <w:t xml:space="preserve"> </w:t>
      </w:r>
      <w:r>
        <w:rPr>
          <w:rFonts w:ascii="Times New Roman" w:eastAsia="Times New Roman" w:hAnsi="Times New Roman" w:cs="Times New Roman"/>
          <w:sz w:val="24"/>
          <w:szCs w:val="24"/>
          <w:lang w:eastAsia="ru-RU"/>
        </w:rPr>
        <w:t>Клейнер Г.Б. Проблемы реформирования отечественных предприятий // Экономическое возрождение России. – 2019. – №2(60). – С. 38 – 46.</w:t>
      </w:r>
    </w:p>
    <w:p w14:paraId="631BFA50" w14:textId="04B3B1F8" w:rsidR="009A6B76" w:rsidRPr="006E0665" w:rsidRDefault="00423872" w:rsidP="006E0665">
      <w:pPr>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7. </w:t>
      </w:r>
      <w:r w:rsidR="009A6B76" w:rsidRPr="006E0665">
        <w:rPr>
          <w:rFonts w:ascii="Times New Roman" w:hAnsi="Times New Roman" w:cs="Times New Roman"/>
          <w:iCs/>
          <w:sz w:val="24"/>
          <w:szCs w:val="24"/>
        </w:rPr>
        <w:t>Клейнер Г.Б. Системная модернизация отечественных предприятий: теоретическое обоснование, мотивы, принципы // Экономика региона. – 2017. – Т. 13, вып. 1. – С. 13–24.</w:t>
      </w:r>
    </w:p>
    <w:p w14:paraId="656FB5D1" w14:textId="4D946BEB" w:rsidR="009A6B76" w:rsidRPr="006E0665" w:rsidRDefault="00423872" w:rsidP="006E0665">
      <w:pPr>
        <w:shd w:val="clear" w:color="auto" w:fill="FFFFFF"/>
        <w:tabs>
          <w:tab w:val="left" w:pos="284"/>
          <w:tab w:val="left" w:pos="567"/>
          <w:tab w:val="left" w:pos="851"/>
          <w:tab w:val="left" w:pos="993"/>
          <w:tab w:val="left" w:pos="1134"/>
          <w:tab w:val="left" w:pos="1276"/>
          <w:tab w:val="left" w:pos="1701"/>
        </w:tabs>
        <w:spacing w:after="0" w:line="240" w:lineRule="auto"/>
        <w:ind w:firstLine="709"/>
        <w:jc w:val="both"/>
        <w:rPr>
          <w:rFonts w:ascii="Times New Roman" w:hAnsi="Times New Roman"/>
          <w:iCs/>
          <w:sz w:val="24"/>
          <w:szCs w:val="24"/>
        </w:rPr>
      </w:pPr>
      <w:r>
        <w:rPr>
          <w:rFonts w:ascii="Times New Roman" w:hAnsi="Times New Roman"/>
          <w:iCs/>
          <w:sz w:val="24"/>
          <w:szCs w:val="24"/>
        </w:rPr>
        <w:t>8</w:t>
      </w:r>
      <w:r w:rsidR="006E0665">
        <w:rPr>
          <w:rFonts w:ascii="Times New Roman" w:hAnsi="Times New Roman"/>
          <w:iCs/>
          <w:sz w:val="24"/>
          <w:szCs w:val="24"/>
        </w:rPr>
        <w:t>.</w:t>
      </w:r>
      <w:r w:rsidR="002C6E58">
        <w:rPr>
          <w:rFonts w:ascii="Times New Roman" w:hAnsi="Times New Roman"/>
          <w:iCs/>
          <w:sz w:val="24"/>
          <w:szCs w:val="24"/>
        </w:rPr>
        <w:t xml:space="preserve"> </w:t>
      </w:r>
      <w:r w:rsidR="009A6B76" w:rsidRPr="006E0665">
        <w:rPr>
          <w:rFonts w:ascii="Times New Roman" w:hAnsi="Times New Roman"/>
          <w:iCs/>
          <w:sz w:val="24"/>
          <w:szCs w:val="24"/>
        </w:rPr>
        <w:t>Львов Д.С. Новая промышленная политика России // Экономическая наука современной России. – 2007. – №3. – С.7 – 12.</w:t>
      </w:r>
    </w:p>
    <w:p w14:paraId="6878E277" w14:textId="6DCC2DFB" w:rsidR="006E0665" w:rsidRPr="006E0665" w:rsidRDefault="00423872" w:rsidP="006E0665">
      <w:pPr>
        <w:shd w:val="clear" w:color="auto" w:fill="FFFFFF"/>
        <w:tabs>
          <w:tab w:val="left" w:pos="284"/>
          <w:tab w:val="left" w:pos="567"/>
          <w:tab w:val="left" w:pos="851"/>
          <w:tab w:val="left" w:pos="993"/>
          <w:tab w:val="left" w:pos="1134"/>
          <w:tab w:val="left" w:pos="1276"/>
          <w:tab w:val="left" w:pos="1701"/>
        </w:tabs>
        <w:spacing w:after="0" w:line="240" w:lineRule="auto"/>
        <w:ind w:firstLine="709"/>
        <w:jc w:val="both"/>
        <w:rPr>
          <w:rFonts w:ascii="Times New Roman" w:hAnsi="Times New Roman"/>
          <w:iCs/>
          <w:sz w:val="24"/>
          <w:szCs w:val="24"/>
        </w:rPr>
      </w:pPr>
      <w:r>
        <w:rPr>
          <w:rFonts w:ascii="Times New Roman" w:hAnsi="Times New Roman"/>
          <w:iCs/>
          <w:sz w:val="24"/>
          <w:szCs w:val="24"/>
          <w:lang w:eastAsia="ru-RU"/>
        </w:rPr>
        <w:t>9</w:t>
      </w:r>
      <w:r w:rsidR="006E0665">
        <w:rPr>
          <w:rFonts w:ascii="Times New Roman" w:hAnsi="Times New Roman"/>
          <w:iCs/>
          <w:sz w:val="24"/>
          <w:szCs w:val="24"/>
          <w:lang w:eastAsia="ru-RU"/>
        </w:rPr>
        <w:t>.</w:t>
      </w:r>
      <w:r w:rsidR="002C6E58">
        <w:rPr>
          <w:rFonts w:ascii="Times New Roman" w:hAnsi="Times New Roman"/>
          <w:iCs/>
          <w:sz w:val="24"/>
          <w:szCs w:val="24"/>
          <w:lang w:eastAsia="ru-RU"/>
        </w:rPr>
        <w:t xml:space="preserve"> </w:t>
      </w:r>
      <w:r w:rsidR="006E0665" w:rsidRPr="006E0665">
        <w:rPr>
          <w:rFonts w:ascii="Times New Roman" w:hAnsi="Times New Roman"/>
          <w:iCs/>
          <w:sz w:val="24"/>
          <w:szCs w:val="24"/>
          <w:lang w:eastAsia="ru-RU"/>
        </w:rPr>
        <w:t>Методические рекомендации по оценке инвестиционных проектов: (вторая редакция) / М-во экон. РФ, М-во фин. РФ, ГК по стр-ву, архит. и жил. политике; рук. авт. кол.: Коссов В.В., Лившиц В.Н., Шахназаров А.Г. – М.: ОАО «НПО «Изд-во «Экономика», 2000, - 421 с.</w:t>
      </w:r>
    </w:p>
    <w:p w14:paraId="2A97DA6B" w14:textId="61B6699D" w:rsidR="009A6B76" w:rsidRPr="006E0665" w:rsidRDefault="00423872" w:rsidP="006E0665">
      <w:pPr>
        <w:spacing w:after="0" w:line="240" w:lineRule="auto"/>
        <w:ind w:firstLine="709"/>
        <w:jc w:val="both"/>
        <w:rPr>
          <w:rFonts w:ascii="Times New Roman" w:hAnsi="Times New Roman" w:cs="Times New Roman"/>
          <w:iCs/>
          <w:sz w:val="24"/>
          <w:szCs w:val="24"/>
        </w:rPr>
      </w:pPr>
      <w:r>
        <w:rPr>
          <w:rFonts w:ascii="Times New Roman" w:hAnsi="Times New Roman" w:cs="Times New Roman"/>
          <w:iCs/>
          <w:color w:val="000000"/>
          <w:sz w:val="24"/>
          <w:szCs w:val="24"/>
        </w:rPr>
        <w:t>10</w:t>
      </w:r>
      <w:r w:rsidR="006E0665">
        <w:rPr>
          <w:rFonts w:ascii="Times New Roman" w:hAnsi="Times New Roman" w:cs="Times New Roman"/>
          <w:iCs/>
          <w:color w:val="000000"/>
          <w:sz w:val="24"/>
          <w:szCs w:val="24"/>
        </w:rPr>
        <w:t>.</w:t>
      </w:r>
      <w:r w:rsidR="002C6E58">
        <w:rPr>
          <w:rFonts w:ascii="Times New Roman" w:hAnsi="Times New Roman" w:cs="Times New Roman"/>
          <w:iCs/>
          <w:color w:val="000000"/>
          <w:sz w:val="24"/>
          <w:szCs w:val="24"/>
        </w:rPr>
        <w:t xml:space="preserve"> </w:t>
      </w:r>
      <w:r w:rsidR="009A6B76" w:rsidRPr="006E0665">
        <w:rPr>
          <w:rFonts w:ascii="Times New Roman" w:hAnsi="Times New Roman" w:cs="Times New Roman"/>
          <w:iCs/>
          <w:color w:val="000000"/>
          <w:sz w:val="24"/>
          <w:szCs w:val="24"/>
        </w:rPr>
        <w:t xml:space="preserve">Палаш С.В. Методика оценки экономических эффектов государственных программ как инструментов структурной промышленной политики </w:t>
      </w:r>
      <w:r w:rsidR="009A6B76" w:rsidRPr="006E0665">
        <w:rPr>
          <w:rFonts w:ascii="Times New Roman" w:hAnsi="Times New Roman" w:cs="Times New Roman"/>
          <w:iCs/>
          <w:sz w:val="24"/>
          <w:szCs w:val="24"/>
        </w:rPr>
        <w:t>// Экономика и предпринимательство. – № 4. – 2019. - С. 574 – 581.</w:t>
      </w:r>
    </w:p>
    <w:p w14:paraId="49E10B8A" w14:textId="77777777" w:rsidR="00B06591" w:rsidRDefault="00423872" w:rsidP="00B06591">
      <w:pPr>
        <w:spacing w:after="0" w:line="240" w:lineRule="auto"/>
        <w:ind w:firstLine="709"/>
        <w:jc w:val="both"/>
        <w:rPr>
          <w:rFonts w:ascii="Times New Roman" w:hAnsi="Times New Roman" w:cs="Times New Roman"/>
          <w:sz w:val="24"/>
          <w:szCs w:val="24"/>
        </w:rPr>
      </w:pPr>
      <w:r>
        <w:rPr>
          <w:rFonts w:ascii="Times New Roman" w:hAnsi="Times New Roman"/>
          <w:iCs/>
          <w:sz w:val="24"/>
          <w:szCs w:val="24"/>
        </w:rPr>
        <w:t>11</w:t>
      </w:r>
      <w:r w:rsidR="006E0665">
        <w:rPr>
          <w:rFonts w:ascii="Times New Roman" w:hAnsi="Times New Roman"/>
          <w:iCs/>
          <w:sz w:val="24"/>
          <w:szCs w:val="24"/>
        </w:rPr>
        <w:t>.</w:t>
      </w:r>
      <w:r w:rsidR="002C6E58">
        <w:rPr>
          <w:rFonts w:ascii="Times New Roman" w:hAnsi="Times New Roman"/>
          <w:iCs/>
          <w:sz w:val="24"/>
          <w:szCs w:val="24"/>
        </w:rPr>
        <w:t xml:space="preserve"> </w:t>
      </w:r>
      <w:r w:rsidR="00B06591">
        <w:rPr>
          <w:rFonts w:ascii="Times New Roman" w:eastAsia="Times New Roman" w:hAnsi="Times New Roman" w:cs="Times New Roman"/>
          <w:sz w:val="24"/>
          <w:szCs w:val="24"/>
          <w:lang w:eastAsia="ru-RU"/>
        </w:rPr>
        <w:t>Сухарев О.С. Технологическая индустриализация: современность и новые возможности // Общество и экономика. - №7. – 2020. – С. 32–51.</w:t>
      </w:r>
    </w:p>
    <w:p w14:paraId="199B1702" w14:textId="59849C7A" w:rsidR="009A6B76" w:rsidRPr="006E0665" w:rsidRDefault="006E0665" w:rsidP="00B06591">
      <w:pPr>
        <w:pStyle w:val="a4"/>
        <w:shd w:val="clear" w:color="auto" w:fill="FFFFFF"/>
        <w:tabs>
          <w:tab w:val="left" w:pos="-180"/>
          <w:tab w:val="left" w:pos="284"/>
          <w:tab w:val="left" w:pos="360"/>
          <w:tab w:val="left" w:pos="567"/>
          <w:tab w:val="left" w:pos="851"/>
          <w:tab w:val="left" w:pos="993"/>
          <w:tab w:val="left" w:pos="1080"/>
          <w:tab w:val="left" w:pos="1134"/>
          <w:tab w:val="left" w:pos="1276"/>
          <w:tab w:val="left" w:pos="1701"/>
          <w:tab w:val="left" w:pos="9072"/>
          <w:tab w:val="left" w:pos="9180"/>
        </w:tabs>
        <w:spacing w:after="0" w:line="240" w:lineRule="auto"/>
        <w:ind w:left="0" w:firstLine="709"/>
        <w:jc w:val="both"/>
        <w:rPr>
          <w:rFonts w:ascii="Times New Roman" w:hAnsi="Times New Roman"/>
          <w:iCs/>
          <w:sz w:val="24"/>
          <w:szCs w:val="24"/>
        </w:rPr>
      </w:pPr>
      <w:r>
        <w:rPr>
          <w:rFonts w:ascii="Times New Roman" w:hAnsi="Times New Roman"/>
          <w:iCs/>
          <w:sz w:val="24"/>
          <w:szCs w:val="24"/>
        </w:rPr>
        <w:t>1</w:t>
      </w:r>
      <w:r w:rsidR="00423872">
        <w:rPr>
          <w:rFonts w:ascii="Times New Roman" w:hAnsi="Times New Roman"/>
          <w:iCs/>
          <w:sz w:val="24"/>
          <w:szCs w:val="24"/>
        </w:rPr>
        <w:t>2</w:t>
      </w:r>
      <w:r>
        <w:rPr>
          <w:rFonts w:ascii="Times New Roman" w:hAnsi="Times New Roman"/>
          <w:iCs/>
          <w:sz w:val="24"/>
          <w:szCs w:val="24"/>
        </w:rPr>
        <w:t>.</w:t>
      </w:r>
      <w:r w:rsidR="002C6E58">
        <w:rPr>
          <w:rFonts w:ascii="Times New Roman" w:hAnsi="Times New Roman"/>
          <w:iCs/>
          <w:sz w:val="24"/>
          <w:szCs w:val="24"/>
        </w:rPr>
        <w:t xml:space="preserve"> </w:t>
      </w:r>
      <w:r w:rsidR="009A6B76" w:rsidRPr="006E0665">
        <w:rPr>
          <w:rFonts w:ascii="Times New Roman" w:hAnsi="Times New Roman"/>
          <w:iCs/>
          <w:sz w:val="24"/>
          <w:szCs w:val="24"/>
        </w:rPr>
        <w:t>Татаркин А.И., Романова О.А. Промышленная политика и механизм ее реализации: системный подход // Экономика региона. – 2007. – №3. – С. 19–31.</w:t>
      </w:r>
    </w:p>
    <w:p w14:paraId="30D2D465" w14:textId="77777777" w:rsidR="009A6B76" w:rsidRDefault="009A6B76" w:rsidP="009A6B76">
      <w:pPr>
        <w:spacing w:after="0" w:line="360" w:lineRule="auto"/>
        <w:ind w:firstLine="851"/>
        <w:jc w:val="both"/>
        <w:rPr>
          <w:rFonts w:ascii="Times New Roman" w:hAnsi="Times New Roman" w:cs="Times New Roman"/>
          <w:sz w:val="24"/>
          <w:szCs w:val="24"/>
        </w:rPr>
      </w:pPr>
    </w:p>
    <w:sectPr w:rsidR="009A6B76" w:rsidSect="00FB46C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CF631" w14:textId="77777777" w:rsidR="006F35B5" w:rsidRDefault="006F35B5" w:rsidP="00F51369">
      <w:pPr>
        <w:spacing w:after="0" w:line="240" w:lineRule="auto"/>
      </w:pPr>
      <w:r>
        <w:separator/>
      </w:r>
    </w:p>
  </w:endnote>
  <w:endnote w:type="continuationSeparator" w:id="0">
    <w:p w14:paraId="69CE7FAD" w14:textId="77777777" w:rsidR="006F35B5" w:rsidRDefault="006F35B5" w:rsidP="00F51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EDB16" w14:textId="77777777" w:rsidR="006F35B5" w:rsidRDefault="006F35B5" w:rsidP="00F51369">
      <w:pPr>
        <w:spacing w:after="0" w:line="240" w:lineRule="auto"/>
      </w:pPr>
      <w:r>
        <w:separator/>
      </w:r>
    </w:p>
  </w:footnote>
  <w:footnote w:type="continuationSeparator" w:id="0">
    <w:p w14:paraId="244417A1" w14:textId="77777777" w:rsidR="006F35B5" w:rsidRDefault="006F35B5" w:rsidP="00F513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45A35"/>
    <w:multiLevelType w:val="hybridMultilevel"/>
    <w:tmpl w:val="19227010"/>
    <w:lvl w:ilvl="0" w:tplc="0582A052">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5B40F4"/>
    <w:multiLevelType w:val="hybridMultilevel"/>
    <w:tmpl w:val="8766B41E"/>
    <w:lvl w:ilvl="0" w:tplc="B5A868C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78D3C47"/>
    <w:multiLevelType w:val="hybridMultilevel"/>
    <w:tmpl w:val="C894861E"/>
    <w:lvl w:ilvl="0" w:tplc="809661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5AB942C6"/>
    <w:multiLevelType w:val="hybridMultilevel"/>
    <w:tmpl w:val="F2CC2B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B74"/>
    <w:rsid w:val="0000122D"/>
    <w:rsid w:val="00007551"/>
    <w:rsid w:val="000106A3"/>
    <w:rsid w:val="000120F5"/>
    <w:rsid w:val="00012FCB"/>
    <w:rsid w:val="00015DCC"/>
    <w:rsid w:val="00041F0B"/>
    <w:rsid w:val="0004537E"/>
    <w:rsid w:val="0006702C"/>
    <w:rsid w:val="00087C46"/>
    <w:rsid w:val="00096779"/>
    <w:rsid w:val="000A0EE3"/>
    <w:rsid w:val="000A52B2"/>
    <w:rsid w:val="000B15B3"/>
    <w:rsid w:val="000B4642"/>
    <w:rsid w:val="000C02A6"/>
    <w:rsid w:val="000D1535"/>
    <w:rsid w:val="000D7679"/>
    <w:rsid w:val="001445B7"/>
    <w:rsid w:val="001526A6"/>
    <w:rsid w:val="00172DDC"/>
    <w:rsid w:val="00174FD2"/>
    <w:rsid w:val="00193A48"/>
    <w:rsid w:val="001E246E"/>
    <w:rsid w:val="001E57B6"/>
    <w:rsid w:val="0021746C"/>
    <w:rsid w:val="00262597"/>
    <w:rsid w:val="00262C32"/>
    <w:rsid w:val="00276B74"/>
    <w:rsid w:val="00277E33"/>
    <w:rsid w:val="002B2EBB"/>
    <w:rsid w:val="002C6E58"/>
    <w:rsid w:val="002F265B"/>
    <w:rsid w:val="00304D35"/>
    <w:rsid w:val="0032073B"/>
    <w:rsid w:val="00347B94"/>
    <w:rsid w:val="0037327F"/>
    <w:rsid w:val="00373B0F"/>
    <w:rsid w:val="00375CE1"/>
    <w:rsid w:val="00386EC3"/>
    <w:rsid w:val="003959FF"/>
    <w:rsid w:val="003A6486"/>
    <w:rsid w:val="003D0BF7"/>
    <w:rsid w:val="003E49CA"/>
    <w:rsid w:val="003E4AFD"/>
    <w:rsid w:val="003F423D"/>
    <w:rsid w:val="003F63A0"/>
    <w:rsid w:val="0040187C"/>
    <w:rsid w:val="00410AE6"/>
    <w:rsid w:val="00423872"/>
    <w:rsid w:val="00425C77"/>
    <w:rsid w:val="00446EAE"/>
    <w:rsid w:val="004A4CC5"/>
    <w:rsid w:val="004D031A"/>
    <w:rsid w:val="004D7E66"/>
    <w:rsid w:val="004E0824"/>
    <w:rsid w:val="004F2B08"/>
    <w:rsid w:val="00510A85"/>
    <w:rsid w:val="00525981"/>
    <w:rsid w:val="00530BB8"/>
    <w:rsid w:val="00537983"/>
    <w:rsid w:val="005379BB"/>
    <w:rsid w:val="00562501"/>
    <w:rsid w:val="00565AC2"/>
    <w:rsid w:val="0059643E"/>
    <w:rsid w:val="00597053"/>
    <w:rsid w:val="005A2757"/>
    <w:rsid w:val="005C37E4"/>
    <w:rsid w:val="005D02F1"/>
    <w:rsid w:val="005E3CF5"/>
    <w:rsid w:val="00615341"/>
    <w:rsid w:val="00616AA1"/>
    <w:rsid w:val="00617AF3"/>
    <w:rsid w:val="006519BB"/>
    <w:rsid w:val="00682E4F"/>
    <w:rsid w:val="006A7A32"/>
    <w:rsid w:val="006B39E8"/>
    <w:rsid w:val="006C36C3"/>
    <w:rsid w:val="006C4676"/>
    <w:rsid w:val="006E0665"/>
    <w:rsid w:val="006E403C"/>
    <w:rsid w:val="006F35B5"/>
    <w:rsid w:val="006F558D"/>
    <w:rsid w:val="00725E44"/>
    <w:rsid w:val="007412AD"/>
    <w:rsid w:val="00741A7B"/>
    <w:rsid w:val="0075007B"/>
    <w:rsid w:val="00755D1D"/>
    <w:rsid w:val="007572E9"/>
    <w:rsid w:val="007655CB"/>
    <w:rsid w:val="00766DD7"/>
    <w:rsid w:val="007A498F"/>
    <w:rsid w:val="007B7BC4"/>
    <w:rsid w:val="007C1AC5"/>
    <w:rsid w:val="007C78EE"/>
    <w:rsid w:val="007E7726"/>
    <w:rsid w:val="00831ADF"/>
    <w:rsid w:val="008364D8"/>
    <w:rsid w:val="008503D1"/>
    <w:rsid w:val="00870B97"/>
    <w:rsid w:val="0088109A"/>
    <w:rsid w:val="00886FFB"/>
    <w:rsid w:val="008A1B6D"/>
    <w:rsid w:val="008C31EE"/>
    <w:rsid w:val="008D54A6"/>
    <w:rsid w:val="008E414C"/>
    <w:rsid w:val="008E471D"/>
    <w:rsid w:val="0090515C"/>
    <w:rsid w:val="00910185"/>
    <w:rsid w:val="00914E04"/>
    <w:rsid w:val="00942B4B"/>
    <w:rsid w:val="00967740"/>
    <w:rsid w:val="009758D6"/>
    <w:rsid w:val="009844B8"/>
    <w:rsid w:val="00984C2E"/>
    <w:rsid w:val="009A6B76"/>
    <w:rsid w:val="009B2691"/>
    <w:rsid w:val="009D6CE6"/>
    <w:rsid w:val="009F5DF8"/>
    <w:rsid w:val="00A14989"/>
    <w:rsid w:val="00A17335"/>
    <w:rsid w:val="00A26FB3"/>
    <w:rsid w:val="00A40F55"/>
    <w:rsid w:val="00A6065D"/>
    <w:rsid w:val="00A70CE5"/>
    <w:rsid w:val="00A966EF"/>
    <w:rsid w:val="00AE01C6"/>
    <w:rsid w:val="00B01048"/>
    <w:rsid w:val="00B06591"/>
    <w:rsid w:val="00B23BC9"/>
    <w:rsid w:val="00B23F0E"/>
    <w:rsid w:val="00B50B7A"/>
    <w:rsid w:val="00B64063"/>
    <w:rsid w:val="00B67795"/>
    <w:rsid w:val="00B80D79"/>
    <w:rsid w:val="00B84528"/>
    <w:rsid w:val="00B94B92"/>
    <w:rsid w:val="00BC1E41"/>
    <w:rsid w:val="00BE6294"/>
    <w:rsid w:val="00C11239"/>
    <w:rsid w:val="00C2271C"/>
    <w:rsid w:val="00C242F8"/>
    <w:rsid w:val="00C4341D"/>
    <w:rsid w:val="00C65026"/>
    <w:rsid w:val="00C74306"/>
    <w:rsid w:val="00CA4520"/>
    <w:rsid w:val="00CB5E3C"/>
    <w:rsid w:val="00CC30FB"/>
    <w:rsid w:val="00CE2595"/>
    <w:rsid w:val="00CF506A"/>
    <w:rsid w:val="00CF6E98"/>
    <w:rsid w:val="00D412FE"/>
    <w:rsid w:val="00D516F7"/>
    <w:rsid w:val="00D52586"/>
    <w:rsid w:val="00D7126F"/>
    <w:rsid w:val="00D713F9"/>
    <w:rsid w:val="00D95943"/>
    <w:rsid w:val="00DA63EA"/>
    <w:rsid w:val="00DD05A3"/>
    <w:rsid w:val="00DD2CAC"/>
    <w:rsid w:val="00DE28D2"/>
    <w:rsid w:val="00DF3301"/>
    <w:rsid w:val="00E045EC"/>
    <w:rsid w:val="00E24D2D"/>
    <w:rsid w:val="00E57074"/>
    <w:rsid w:val="00E66C09"/>
    <w:rsid w:val="00E77C92"/>
    <w:rsid w:val="00E81D01"/>
    <w:rsid w:val="00E849FE"/>
    <w:rsid w:val="00EE3966"/>
    <w:rsid w:val="00F1276D"/>
    <w:rsid w:val="00F1479A"/>
    <w:rsid w:val="00F32610"/>
    <w:rsid w:val="00F42C06"/>
    <w:rsid w:val="00F51369"/>
    <w:rsid w:val="00F71BB6"/>
    <w:rsid w:val="00FA3AF7"/>
    <w:rsid w:val="00FB46C2"/>
    <w:rsid w:val="00FC588F"/>
    <w:rsid w:val="00FC77C2"/>
    <w:rsid w:val="00FC795F"/>
    <w:rsid w:val="00FD3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A6835"/>
  <w15:docId w15:val="{97611229-4C98-4741-A698-74E842EA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3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1369"/>
    <w:rPr>
      <w:color w:val="0000FF" w:themeColor="hyperlink"/>
      <w:u w:val="single"/>
    </w:rPr>
  </w:style>
  <w:style w:type="paragraph" w:styleId="a4">
    <w:name w:val="List Paragraph"/>
    <w:basedOn w:val="a"/>
    <w:link w:val="a5"/>
    <w:uiPriority w:val="34"/>
    <w:qFormat/>
    <w:rsid w:val="00F51369"/>
    <w:pPr>
      <w:ind w:left="720"/>
      <w:contextualSpacing/>
    </w:pPr>
  </w:style>
  <w:style w:type="paragraph" w:styleId="a6">
    <w:name w:val="footnote text"/>
    <w:basedOn w:val="a"/>
    <w:link w:val="a7"/>
    <w:uiPriority w:val="99"/>
    <w:semiHidden/>
    <w:unhideWhenUsed/>
    <w:rsid w:val="00F51369"/>
    <w:pPr>
      <w:spacing w:after="0" w:line="240" w:lineRule="auto"/>
    </w:pPr>
    <w:rPr>
      <w:sz w:val="20"/>
      <w:szCs w:val="20"/>
    </w:rPr>
  </w:style>
  <w:style w:type="character" w:customStyle="1" w:styleId="a7">
    <w:name w:val="Текст сноски Знак"/>
    <w:basedOn w:val="a0"/>
    <w:link w:val="a6"/>
    <w:uiPriority w:val="99"/>
    <w:semiHidden/>
    <w:rsid w:val="00F51369"/>
    <w:rPr>
      <w:sz w:val="20"/>
      <w:szCs w:val="20"/>
    </w:rPr>
  </w:style>
  <w:style w:type="character" w:styleId="a8">
    <w:name w:val="footnote reference"/>
    <w:basedOn w:val="a0"/>
    <w:uiPriority w:val="99"/>
    <w:semiHidden/>
    <w:unhideWhenUsed/>
    <w:rsid w:val="00F51369"/>
    <w:rPr>
      <w:vertAlign w:val="superscript"/>
    </w:rPr>
  </w:style>
  <w:style w:type="character" w:styleId="a9">
    <w:name w:val="Placeholder Text"/>
    <w:basedOn w:val="a0"/>
    <w:uiPriority w:val="99"/>
    <w:semiHidden/>
    <w:rsid w:val="00C4341D"/>
    <w:rPr>
      <w:color w:val="808080"/>
    </w:rPr>
  </w:style>
  <w:style w:type="character" w:customStyle="1" w:styleId="1">
    <w:name w:val="Неразрешенное упоминание1"/>
    <w:basedOn w:val="a0"/>
    <w:uiPriority w:val="99"/>
    <w:semiHidden/>
    <w:unhideWhenUsed/>
    <w:rsid w:val="0075007B"/>
    <w:rPr>
      <w:color w:val="605E5C"/>
      <w:shd w:val="clear" w:color="auto" w:fill="E1DFDD"/>
    </w:rPr>
  </w:style>
  <w:style w:type="paragraph" w:styleId="aa">
    <w:name w:val="Balloon Text"/>
    <w:basedOn w:val="a"/>
    <w:link w:val="ab"/>
    <w:uiPriority w:val="99"/>
    <w:semiHidden/>
    <w:unhideWhenUsed/>
    <w:rsid w:val="00015DC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15DCC"/>
    <w:rPr>
      <w:rFonts w:ascii="Tahoma" w:hAnsi="Tahoma" w:cs="Tahoma"/>
      <w:sz w:val="16"/>
      <w:szCs w:val="16"/>
    </w:rPr>
  </w:style>
  <w:style w:type="table" w:styleId="ac">
    <w:name w:val="Table Grid"/>
    <w:basedOn w:val="a1"/>
    <w:uiPriority w:val="59"/>
    <w:rsid w:val="00015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locked/>
    <w:rsid w:val="009A6B76"/>
  </w:style>
  <w:style w:type="paragraph" w:styleId="ad">
    <w:name w:val="Normal (Web)"/>
    <w:basedOn w:val="a"/>
    <w:uiPriority w:val="99"/>
    <w:semiHidden/>
    <w:unhideWhenUsed/>
    <w:rsid w:val="000106A3"/>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3761">
      <w:bodyDiv w:val="1"/>
      <w:marLeft w:val="0"/>
      <w:marRight w:val="0"/>
      <w:marTop w:val="0"/>
      <w:marBottom w:val="0"/>
      <w:divBdr>
        <w:top w:val="none" w:sz="0" w:space="0" w:color="auto"/>
        <w:left w:val="none" w:sz="0" w:space="0" w:color="auto"/>
        <w:bottom w:val="none" w:sz="0" w:space="0" w:color="auto"/>
        <w:right w:val="none" w:sz="0" w:space="0" w:color="auto"/>
      </w:divBdr>
    </w:div>
    <w:div w:id="202520248">
      <w:bodyDiv w:val="1"/>
      <w:marLeft w:val="0"/>
      <w:marRight w:val="0"/>
      <w:marTop w:val="0"/>
      <w:marBottom w:val="0"/>
      <w:divBdr>
        <w:top w:val="none" w:sz="0" w:space="0" w:color="auto"/>
        <w:left w:val="none" w:sz="0" w:space="0" w:color="auto"/>
        <w:bottom w:val="none" w:sz="0" w:space="0" w:color="auto"/>
        <w:right w:val="none" w:sz="0" w:space="0" w:color="auto"/>
      </w:divBdr>
    </w:div>
    <w:div w:id="667563090">
      <w:bodyDiv w:val="1"/>
      <w:marLeft w:val="0"/>
      <w:marRight w:val="0"/>
      <w:marTop w:val="0"/>
      <w:marBottom w:val="0"/>
      <w:divBdr>
        <w:top w:val="none" w:sz="0" w:space="0" w:color="auto"/>
        <w:left w:val="none" w:sz="0" w:space="0" w:color="auto"/>
        <w:bottom w:val="none" w:sz="0" w:space="0" w:color="auto"/>
        <w:right w:val="none" w:sz="0" w:space="0" w:color="auto"/>
      </w:divBdr>
    </w:div>
    <w:div w:id="718937918">
      <w:bodyDiv w:val="1"/>
      <w:marLeft w:val="0"/>
      <w:marRight w:val="0"/>
      <w:marTop w:val="0"/>
      <w:marBottom w:val="0"/>
      <w:divBdr>
        <w:top w:val="none" w:sz="0" w:space="0" w:color="auto"/>
        <w:left w:val="none" w:sz="0" w:space="0" w:color="auto"/>
        <w:bottom w:val="none" w:sz="0" w:space="0" w:color="auto"/>
        <w:right w:val="none" w:sz="0" w:space="0" w:color="auto"/>
      </w:divBdr>
    </w:div>
    <w:div w:id="774248252">
      <w:bodyDiv w:val="1"/>
      <w:marLeft w:val="0"/>
      <w:marRight w:val="0"/>
      <w:marTop w:val="0"/>
      <w:marBottom w:val="0"/>
      <w:divBdr>
        <w:top w:val="none" w:sz="0" w:space="0" w:color="auto"/>
        <w:left w:val="none" w:sz="0" w:space="0" w:color="auto"/>
        <w:bottom w:val="none" w:sz="0" w:space="0" w:color="auto"/>
        <w:right w:val="none" w:sz="0" w:space="0" w:color="auto"/>
      </w:divBdr>
    </w:div>
    <w:div w:id="879048980">
      <w:bodyDiv w:val="1"/>
      <w:marLeft w:val="0"/>
      <w:marRight w:val="0"/>
      <w:marTop w:val="0"/>
      <w:marBottom w:val="0"/>
      <w:divBdr>
        <w:top w:val="none" w:sz="0" w:space="0" w:color="auto"/>
        <w:left w:val="none" w:sz="0" w:space="0" w:color="auto"/>
        <w:bottom w:val="none" w:sz="0" w:space="0" w:color="auto"/>
        <w:right w:val="none" w:sz="0" w:space="0" w:color="auto"/>
      </w:divBdr>
    </w:div>
    <w:div w:id="1161239728">
      <w:bodyDiv w:val="1"/>
      <w:marLeft w:val="0"/>
      <w:marRight w:val="0"/>
      <w:marTop w:val="0"/>
      <w:marBottom w:val="0"/>
      <w:divBdr>
        <w:top w:val="none" w:sz="0" w:space="0" w:color="auto"/>
        <w:left w:val="none" w:sz="0" w:space="0" w:color="auto"/>
        <w:bottom w:val="none" w:sz="0" w:space="0" w:color="auto"/>
        <w:right w:val="none" w:sz="0" w:space="0" w:color="auto"/>
      </w:divBdr>
    </w:div>
    <w:div w:id="1197892954">
      <w:bodyDiv w:val="1"/>
      <w:marLeft w:val="0"/>
      <w:marRight w:val="0"/>
      <w:marTop w:val="0"/>
      <w:marBottom w:val="0"/>
      <w:divBdr>
        <w:top w:val="none" w:sz="0" w:space="0" w:color="auto"/>
        <w:left w:val="none" w:sz="0" w:space="0" w:color="auto"/>
        <w:bottom w:val="none" w:sz="0" w:space="0" w:color="auto"/>
        <w:right w:val="none" w:sz="0" w:space="0" w:color="auto"/>
      </w:divBdr>
    </w:div>
    <w:div w:id="1436553702">
      <w:bodyDiv w:val="1"/>
      <w:marLeft w:val="0"/>
      <w:marRight w:val="0"/>
      <w:marTop w:val="0"/>
      <w:marBottom w:val="0"/>
      <w:divBdr>
        <w:top w:val="none" w:sz="0" w:space="0" w:color="auto"/>
        <w:left w:val="none" w:sz="0" w:space="0" w:color="auto"/>
        <w:bottom w:val="none" w:sz="0" w:space="0" w:color="auto"/>
        <w:right w:val="none" w:sz="0" w:space="0" w:color="auto"/>
      </w:divBdr>
    </w:div>
    <w:div w:id="1438450900">
      <w:bodyDiv w:val="1"/>
      <w:marLeft w:val="0"/>
      <w:marRight w:val="0"/>
      <w:marTop w:val="0"/>
      <w:marBottom w:val="0"/>
      <w:divBdr>
        <w:top w:val="none" w:sz="0" w:space="0" w:color="auto"/>
        <w:left w:val="none" w:sz="0" w:space="0" w:color="auto"/>
        <w:bottom w:val="none" w:sz="0" w:space="0" w:color="auto"/>
        <w:right w:val="none" w:sz="0" w:space="0" w:color="auto"/>
      </w:divBdr>
    </w:div>
    <w:div w:id="1525316531">
      <w:bodyDiv w:val="1"/>
      <w:marLeft w:val="0"/>
      <w:marRight w:val="0"/>
      <w:marTop w:val="0"/>
      <w:marBottom w:val="0"/>
      <w:divBdr>
        <w:top w:val="none" w:sz="0" w:space="0" w:color="auto"/>
        <w:left w:val="none" w:sz="0" w:space="0" w:color="auto"/>
        <w:bottom w:val="none" w:sz="0" w:space="0" w:color="auto"/>
        <w:right w:val="none" w:sz="0" w:space="0" w:color="auto"/>
      </w:divBdr>
    </w:div>
    <w:div w:id="1531608560">
      <w:bodyDiv w:val="1"/>
      <w:marLeft w:val="0"/>
      <w:marRight w:val="0"/>
      <w:marTop w:val="0"/>
      <w:marBottom w:val="0"/>
      <w:divBdr>
        <w:top w:val="none" w:sz="0" w:space="0" w:color="auto"/>
        <w:left w:val="none" w:sz="0" w:space="0" w:color="auto"/>
        <w:bottom w:val="none" w:sz="0" w:space="0" w:color="auto"/>
        <w:right w:val="none" w:sz="0" w:space="0" w:color="auto"/>
      </w:divBdr>
    </w:div>
    <w:div w:id="1677539633">
      <w:bodyDiv w:val="1"/>
      <w:marLeft w:val="0"/>
      <w:marRight w:val="0"/>
      <w:marTop w:val="0"/>
      <w:marBottom w:val="0"/>
      <w:divBdr>
        <w:top w:val="none" w:sz="0" w:space="0" w:color="auto"/>
        <w:left w:val="none" w:sz="0" w:space="0" w:color="auto"/>
        <w:bottom w:val="none" w:sz="0" w:space="0" w:color="auto"/>
        <w:right w:val="none" w:sz="0" w:space="0" w:color="auto"/>
      </w:divBdr>
    </w:div>
    <w:div w:id="1797067514">
      <w:bodyDiv w:val="1"/>
      <w:marLeft w:val="0"/>
      <w:marRight w:val="0"/>
      <w:marTop w:val="0"/>
      <w:marBottom w:val="0"/>
      <w:divBdr>
        <w:top w:val="none" w:sz="0" w:space="0" w:color="auto"/>
        <w:left w:val="none" w:sz="0" w:space="0" w:color="auto"/>
        <w:bottom w:val="none" w:sz="0" w:space="0" w:color="auto"/>
        <w:right w:val="none" w:sz="0" w:space="0" w:color="auto"/>
      </w:divBdr>
    </w:div>
    <w:div w:id="1928922873">
      <w:bodyDiv w:val="1"/>
      <w:marLeft w:val="0"/>
      <w:marRight w:val="0"/>
      <w:marTop w:val="0"/>
      <w:marBottom w:val="0"/>
      <w:divBdr>
        <w:top w:val="none" w:sz="0" w:space="0" w:color="auto"/>
        <w:left w:val="none" w:sz="0" w:space="0" w:color="auto"/>
        <w:bottom w:val="none" w:sz="0" w:space="0" w:color="auto"/>
        <w:right w:val="none" w:sz="0" w:space="0" w:color="auto"/>
      </w:divBdr>
    </w:div>
    <w:div w:id="2070491052">
      <w:bodyDiv w:val="1"/>
      <w:marLeft w:val="0"/>
      <w:marRight w:val="0"/>
      <w:marTop w:val="0"/>
      <w:marBottom w:val="0"/>
      <w:divBdr>
        <w:top w:val="none" w:sz="0" w:space="0" w:color="auto"/>
        <w:left w:val="none" w:sz="0" w:space="0" w:color="auto"/>
        <w:bottom w:val="none" w:sz="0" w:space="0" w:color="auto"/>
        <w:right w:val="none" w:sz="0" w:space="0" w:color="auto"/>
      </w:divBdr>
    </w:div>
    <w:div w:id="2088457210">
      <w:bodyDiv w:val="1"/>
      <w:marLeft w:val="0"/>
      <w:marRight w:val="0"/>
      <w:marTop w:val="0"/>
      <w:marBottom w:val="0"/>
      <w:divBdr>
        <w:top w:val="none" w:sz="0" w:space="0" w:color="auto"/>
        <w:left w:val="none" w:sz="0" w:space="0" w:color="auto"/>
        <w:bottom w:val="none" w:sz="0" w:space="0" w:color="auto"/>
        <w:right w:val="none" w:sz="0" w:space="0" w:color="auto"/>
      </w:divBdr>
    </w:div>
    <w:div w:id="2088921664">
      <w:bodyDiv w:val="1"/>
      <w:marLeft w:val="0"/>
      <w:marRight w:val="0"/>
      <w:marTop w:val="0"/>
      <w:marBottom w:val="0"/>
      <w:divBdr>
        <w:top w:val="none" w:sz="0" w:space="0" w:color="auto"/>
        <w:left w:val="none" w:sz="0" w:space="0" w:color="auto"/>
        <w:bottom w:val="none" w:sz="0" w:space="0" w:color="auto"/>
        <w:right w:val="none" w:sz="0" w:space="0" w:color="auto"/>
      </w:divBdr>
    </w:div>
    <w:div w:id="213798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item.asp?id=2392323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616A3-38C6-4157-B7B0-5963CD830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1470</Words>
  <Characters>8381</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Borodina, Ann</dc:creator>
  <cp:keywords/>
  <dc:description/>
  <cp:lastModifiedBy>Воронова Полина Александровна</cp:lastModifiedBy>
  <cp:revision>2</cp:revision>
  <dcterms:created xsi:type="dcterms:W3CDTF">2020-10-03T11:45:00Z</dcterms:created>
  <dcterms:modified xsi:type="dcterms:W3CDTF">2020-10-03T11:45:00Z</dcterms:modified>
</cp:coreProperties>
</file>